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524CF2">
      <w:pPr>
        <w:ind w:left="4240" w:right="3960"/>
      </w:pPr>
    </w:p>
    <w:p w14:paraId="7985D3D0">
      <w:pPr>
        <w:ind w:left="4240" w:right="3960"/>
      </w:pPr>
    </w:p>
    <w:p w14:paraId="35082FAD">
      <w:pPr>
        <w:autoSpaceDE w:val="0"/>
        <w:autoSpaceDN w:val="0"/>
        <w:spacing w:before="80" w:line="720" w:lineRule="atLeast"/>
        <w:ind w:left="960" w:right="780"/>
        <w:rPr>
          <w:sz w:val="44"/>
        </w:rPr>
      </w:pPr>
      <w:r>
        <w:rPr>
          <w:rFonts w:ascii="宋体" w:hAnsi="宋体" w:eastAsia="宋体" w:cs="宋体"/>
          <w:color w:val="000000"/>
          <w:sz w:val="44"/>
        </w:rPr>
        <w:t>泰安市饭店烹饪协会职业技能等级认定工作</w:t>
      </w:r>
    </w:p>
    <w:p w14:paraId="0F4A5916">
      <w:pPr>
        <w:autoSpaceDE w:val="0"/>
        <w:autoSpaceDN w:val="0"/>
        <w:spacing w:before="1040" w:line="800" w:lineRule="atLeast"/>
        <w:ind w:left="4840"/>
        <w:rPr>
          <w:sz w:val="41"/>
        </w:rPr>
      </w:pPr>
    </w:p>
    <w:p w14:paraId="47BF37EB">
      <w:pPr>
        <w:spacing w:line="20" w:lineRule="exact"/>
      </w:pPr>
    </w:p>
    <w:tbl>
      <w:tblPr>
        <w:tblStyle w:val="5"/>
        <w:tblW w:w="0" w:type="auto"/>
        <w:tblInd w:w="4700" w:type="dxa"/>
        <w:tblLayout w:type="autofit"/>
        <w:tblCellMar>
          <w:top w:w="0" w:type="dxa"/>
          <w:left w:w="0" w:type="dxa"/>
          <w:bottom w:w="0" w:type="dxa"/>
          <w:right w:w="0" w:type="dxa"/>
        </w:tblCellMar>
      </w:tblPr>
      <w:tblGrid>
        <w:gridCol w:w="1240"/>
      </w:tblGrid>
      <w:tr w14:paraId="62D8F635">
        <w:tblPrEx>
          <w:tblCellMar>
            <w:top w:w="0" w:type="dxa"/>
            <w:left w:w="0" w:type="dxa"/>
            <w:bottom w:w="0" w:type="dxa"/>
            <w:right w:w="0" w:type="dxa"/>
          </w:tblCellMar>
        </w:tblPrEx>
        <w:trPr>
          <w:trHeight w:val="3260" w:hRule="atLeast"/>
        </w:trPr>
        <w:tc>
          <w:tcPr>
            <w:tcW w:w="1240" w:type="dxa"/>
            <w:textDirection w:val="tbRlV"/>
          </w:tcPr>
          <w:p w14:paraId="6BAA413C">
            <w:pPr>
              <w:autoSpaceDE w:val="0"/>
              <w:autoSpaceDN w:val="0"/>
              <w:spacing w:line="1240" w:lineRule="atLeast"/>
              <w:ind w:left="113"/>
              <w:rPr>
                <w:sz w:val="41"/>
              </w:rPr>
            </w:pPr>
            <w:r>
              <w:rPr>
                <w:rFonts w:hint="eastAsia" w:ascii="宋体" w:hAnsi="宋体" w:eastAsia="宋体" w:cs="宋体"/>
                <w:color w:val="000000"/>
                <w:sz w:val="44"/>
              </w:rPr>
              <w:t xml:space="preserve">考 </w:t>
            </w:r>
            <w:r>
              <w:rPr>
                <w:rFonts w:ascii="宋体" w:hAnsi="宋体" w:eastAsia="宋体" w:cs="宋体"/>
                <w:color w:val="000000"/>
                <w:sz w:val="44"/>
              </w:rPr>
              <w:t>务</w:t>
            </w:r>
            <w:r>
              <w:rPr>
                <w:rFonts w:hint="eastAsia" w:ascii="宋体" w:hAnsi="宋体" w:eastAsia="宋体" w:cs="宋体"/>
                <w:color w:val="000000"/>
                <w:sz w:val="44"/>
              </w:rPr>
              <w:t xml:space="preserve"> </w:t>
            </w:r>
            <w:r>
              <w:rPr>
                <w:rFonts w:ascii="宋体" w:hAnsi="宋体" w:eastAsia="宋体" w:cs="宋体"/>
                <w:color w:val="000000"/>
                <w:sz w:val="44"/>
              </w:rPr>
              <w:t>手</w:t>
            </w:r>
            <w:r>
              <w:rPr>
                <w:rFonts w:hint="eastAsia" w:ascii="宋体" w:hAnsi="宋体" w:eastAsia="宋体" w:cs="宋体"/>
                <w:color w:val="000000"/>
                <w:sz w:val="44"/>
              </w:rPr>
              <w:t xml:space="preserve"> </w:t>
            </w:r>
            <w:r>
              <w:rPr>
                <w:rFonts w:ascii="宋体" w:hAnsi="宋体" w:eastAsia="宋体" w:cs="宋体"/>
                <w:color w:val="000000"/>
                <w:sz w:val="44"/>
              </w:rPr>
              <w:t>册</w:t>
            </w:r>
          </w:p>
        </w:tc>
      </w:tr>
    </w:tbl>
    <w:p w14:paraId="7CEC7D27">
      <w:pPr>
        <w:spacing w:line="1406" w:lineRule="exact"/>
      </w:pPr>
    </w:p>
    <w:p w14:paraId="6E5D915E">
      <w:pPr>
        <w:spacing w:line="14" w:lineRule="exact"/>
      </w:pPr>
      <w:r>
        <mc:AlternateContent>
          <mc:Choice Requires="wps">
            <w:drawing>
              <wp:anchor distT="0" distB="0" distL="0" distR="0" simplePos="0" relativeHeight="251659264" behindDoc="0" locked="0" layoutInCell="1" allowOverlap="1">
                <wp:simplePos x="0" y="0"/>
                <wp:positionH relativeFrom="column">
                  <wp:posOffset>1358900</wp:posOffset>
                </wp:positionH>
                <wp:positionV relativeFrom="paragraph">
                  <wp:posOffset>0</wp:posOffset>
                </wp:positionV>
                <wp:extent cx="4165600" cy="749300"/>
                <wp:effectExtent l="0" t="0" r="0" b="0"/>
                <wp:wrapTopAndBottom/>
                <wp:docPr id="3" name="文本框 3"/>
                <wp:cNvGraphicFramePr/>
                <a:graphic xmlns:a="http://schemas.openxmlformats.org/drawingml/2006/main">
                  <a:graphicData uri="http://schemas.microsoft.com/office/word/2010/wordprocessingShape">
                    <wps:wsp>
                      <wps:cNvSpPr txBox="1"/>
                      <wps:spPr>
                        <a:xfrm>
                          <a:off x="0" y="0"/>
                          <a:ext cx="4165600" cy="749300"/>
                        </a:xfrm>
                        <a:prstGeom prst="rect">
                          <a:avLst/>
                        </a:prstGeom>
                        <a:noFill/>
                        <a:ln w="6350">
                          <a:noFill/>
                        </a:ln>
                      </wps:spPr>
                      <wps:txbx>
                        <w:txbxContent>
                          <w:p w14:paraId="080F01E8"/>
                        </w:txbxContent>
                      </wps:txbx>
                      <wps:bodyPr vert="horz" wrap="square" lIns="0" tIns="0" rIns="0" bIns="0" anchor="t">
                        <a:noAutofit/>
                      </wps:bodyPr>
                    </wps:wsp>
                  </a:graphicData>
                </a:graphic>
              </wp:anchor>
            </w:drawing>
          </mc:Choice>
          <mc:Fallback>
            <w:pict>
              <v:shape id="_x0000_s1026" o:spid="_x0000_s1026" o:spt="202" type="#_x0000_t202" style="position:absolute;left:0pt;margin-left:107pt;margin-top:0pt;height:59pt;width:328pt;mso-wrap-distance-bottom:0pt;mso-wrap-distance-top:0pt;z-index:251659264;mso-width-relative:page;mso-height-relative:page;" filled="f" stroked="f" coordsize="21600,21600" o:gfxdata="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ME8QHdYAAAAIAQAADwAA&#10;AAAAAAABACAAAAAiAAAAZHJzL2Rvd25yZXYueG1sUEsBAhQAFAAAAAgAh07iQIiert/fAQAArgMA&#10;AA4AAAAAAAAAAQAgAAAAJQEAAGRycy9lMm9Eb2MueG1sUEsFBgAAAAAGAAYAWQEAAHYFAAAAAA==&#10;">
                <v:fill on="f" focussize="0,0"/>
                <v:stroke on="f" weight="0.5pt"/>
                <v:imagedata o:title=""/>
                <o:lock v:ext="edit" aspectratio="f"/>
                <v:textbox inset="0mm,0mm,0mm,0mm">
                  <w:txbxContent>
                    <w:p w14:paraId="080F01E8"/>
                  </w:txbxContent>
                </v:textbox>
                <w10:wrap type="topAndBottom"/>
              </v:shape>
            </w:pict>
          </mc:Fallback>
        </mc:AlternateContent>
      </w:r>
      <w:r>
        <mc:AlternateContent>
          <mc:Choice Requires="wps">
            <w:drawing>
              <wp:anchor distT="0" distB="0" distL="0" distR="0" simplePos="0" relativeHeight="251660288" behindDoc="0" locked="0" layoutInCell="1" allowOverlap="1">
                <wp:simplePos x="0" y="0"/>
                <wp:positionH relativeFrom="column">
                  <wp:posOffset>2616200</wp:posOffset>
                </wp:positionH>
                <wp:positionV relativeFrom="paragraph">
                  <wp:posOffset>0</wp:posOffset>
                </wp:positionV>
                <wp:extent cx="1663700" cy="1612900"/>
                <wp:effectExtent l="0" t="0" r="0" b="0"/>
                <wp:wrapTopAndBottom/>
                <wp:docPr id="4" name="文本框 4"/>
                <wp:cNvGraphicFramePr/>
                <a:graphic xmlns:a="http://schemas.openxmlformats.org/drawingml/2006/main">
                  <a:graphicData uri="http://schemas.microsoft.com/office/word/2010/wordprocessingShape">
                    <wps:wsp>
                      <wps:cNvSpPr txBox="1"/>
                      <wps:spPr>
                        <a:xfrm>
                          <a:off x="0" y="0"/>
                          <a:ext cx="1663700" cy="1612900"/>
                        </a:xfrm>
                        <a:prstGeom prst="rect">
                          <a:avLst/>
                        </a:prstGeom>
                        <a:noFill/>
                        <a:ln w="6350">
                          <a:noFill/>
                        </a:ln>
                      </wps:spPr>
                      <wps:txbx>
                        <w:txbxContent>
                          <w:p w14:paraId="6A69C468"/>
                        </w:txbxContent>
                      </wps:txbx>
                      <wps:bodyPr vert="horz" wrap="square" lIns="0" tIns="0" rIns="0" bIns="0" anchor="t">
                        <a:spAutoFit/>
                      </wps:bodyPr>
                    </wps:wsp>
                  </a:graphicData>
                </a:graphic>
              </wp:anchor>
            </w:drawing>
          </mc:Choice>
          <mc:Fallback>
            <w:pict>
              <v:shape id="_x0000_s1026" o:spid="_x0000_s1026" o:spt="202" type="#_x0000_t202" style="position:absolute;left:0pt;margin-left:206pt;margin-top:0pt;height:127pt;width:131pt;mso-wrap-distance-bottom:0pt;mso-wrap-distance-top:0pt;z-index:251660288;mso-width-relative:page;mso-height-relative:page;" filled="f" stroked="f" coordsize="21600,21600" o:gfxdata="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DNFwCZ1QAAAAgBAAAPAAAA&#10;AAAAAAEAIAAAACIAAABkcnMvZG93bnJldi54bWxQSwECFAAUAAAACACHTuJAoglz198BAACvAwAA&#10;DgAAAAAAAAABACAAAAAkAQAAZHJzL2Uyb0RvYy54bWxQSwUGAAAAAAYABgBZAQAAdQUAAAAA&#10;">
                <v:fill on="f" focussize="0,0"/>
                <v:stroke on="f" weight="0.5pt"/>
                <v:imagedata o:title=""/>
                <o:lock v:ext="edit" aspectratio="f"/>
                <v:textbox inset="0mm,0mm,0mm,0mm" style="mso-fit-shape-to-text:t;">
                  <w:txbxContent>
                    <w:p w14:paraId="6A69C468"/>
                  </w:txbxContent>
                </v:textbox>
                <w10:wrap type="topAndBottom"/>
              </v:shape>
            </w:pict>
          </mc:Fallback>
        </mc:AlternateContent>
      </w:r>
      <w:r>
        <mc:AlternateContent>
          <mc:Choice Requires="wps">
            <w:drawing>
              <wp:anchor distT="0" distB="0" distL="0" distR="0" simplePos="0" relativeHeight="251661312" behindDoc="0" locked="0" layoutInCell="1" allowOverlap="1">
                <wp:simplePos x="0" y="0"/>
                <wp:positionH relativeFrom="column">
                  <wp:posOffset>1358900</wp:posOffset>
                </wp:positionH>
                <wp:positionV relativeFrom="paragraph">
                  <wp:posOffset>749300</wp:posOffset>
                </wp:positionV>
                <wp:extent cx="4165600" cy="279400"/>
                <wp:effectExtent l="0" t="0" r="0" b="0"/>
                <wp:wrapTopAndBottom/>
                <wp:docPr id="9" name="文本框 9"/>
                <wp:cNvGraphicFramePr/>
                <a:graphic xmlns:a="http://schemas.openxmlformats.org/drawingml/2006/main">
                  <a:graphicData uri="http://schemas.microsoft.com/office/word/2010/wordprocessingShape">
                    <wps:wsp>
                      <wps:cNvSpPr txBox="1"/>
                      <wps:spPr>
                        <a:xfrm>
                          <a:off x="0" y="0"/>
                          <a:ext cx="4165600" cy="279400"/>
                        </a:xfrm>
                        <a:prstGeom prst="rect">
                          <a:avLst/>
                        </a:prstGeom>
                        <a:noFill/>
                        <a:ln w="6350">
                          <a:noFill/>
                        </a:ln>
                      </wps:spPr>
                      <wps:txbx>
                        <w:txbxContent>
                          <w:p w14:paraId="4ACC6230">
                            <w:pPr>
                              <w:autoSpaceDE w:val="0"/>
                              <w:autoSpaceDN w:val="0"/>
                              <w:spacing w:line="440" w:lineRule="atLeast"/>
                              <w:ind w:firstLine="880" w:firstLineChars="200"/>
                              <w:rPr>
                                <w:sz w:val="44"/>
                              </w:rPr>
                            </w:pPr>
                            <w:r>
                              <w:rPr>
                                <w:rFonts w:ascii="宋体" w:hAnsi="宋体" w:eastAsia="宋体" w:cs="宋体"/>
                                <w:color w:val="000000"/>
                                <w:sz w:val="44"/>
                              </w:rPr>
                              <w:t>泰安市</w:t>
                            </w:r>
                            <w:r>
                              <w:rPr>
                                <w:rFonts w:hint="eastAsia" w:ascii="宋体" w:hAnsi="宋体" w:eastAsia="宋体" w:cs="宋体"/>
                                <w:color w:val="000000"/>
                                <w:sz w:val="44"/>
                              </w:rPr>
                              <w:t>饭店烹饪</w:t>
                            </w:r>
                            <w:r>
                              <w:rPr>
                                <w:rFonts w:ascii="宋体" w:hAnsi="宋体" w:eastAsia="宋体" w:cs="宋体"/>
                                <w:color w:val="000000"/>
                                <w:sz w:val="44"/>
                              </w:rPr>
                              <w:t>协会</w:t>
                            </w:r>
                          </w:p>
                        </w:txbxContent>
                      </wps:txbx>
                      <wps:bodyPr vert="horz" wrap="square" lIns="0" tIns="0" rIns="0" bIns="0" anchor="t">
                        <a:spAutoFit/>
                      </wps:bodyPr>
                    </wps:wsp>
                  </a:graphicData>
                </a:graphic>
              </wp:anchor>
            </w:drawing>
          </mc:Choice>
          <mc:Fallback>
            <w:pict>
              <v:shape id="_x0000_s1026" o:spid="_x0000_s1026" o:spt="202" type="#_x0000_t202" style="position:absolute;left:0pt;margin-left:107pt;margin-top:59pt;height:22pt;width:328pt;mso-wrap-distance-bottom:0pt;mso-wrap-distance-top:0pt;z-index:251661312;mso-width-relative:page;mso-height-relative:page;" filled="f" stroked="f" coordsize="21600,21600" o:gfxdata="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z3ahs1gAAAAsBAAAPAAAA&#10;AAAAAAEAIAAAACIAAABkcnMvZG93bnJldi54bWxQSwECFAAUAAAACACHTuJARInHmN4BAACuAwAA&#10;DgAAAAAAAAABACAAAAAlAQAAZHJzL2Uyb0RvYy54bWxQSwUGAAAAAAYABgBZAQAAdQUAAAAA&#10;">
                <v:fill on="f" focussize="0,0"/>
                <v:stroke on="f" weight="0.5pt"/>
                <v:imagedata o:title=""/>
                <o:lock v:ext="edit" aspectratio="f"/>
                <v:textbox inset="0mm,0mm,0mm,0mm" style="mso-fit-shape-to-text:t;">
                  <w:txbxContent>
                    <w:p w14:paraId="4ACC6230">
                      <w:pPr>
                        <w:autoSpaceDE w:val="0"/>
                        <w:autoSpaceDN w:val="0"/>
                        <w:spacing w:line="440" w:lineRule="atLeast"/>
                        <w:ind w:firstLine="880" w:firstLineChars="200"/>
                        <w:rPr>
                          <w:sz w:val="44"/>
                        </w:rPr>
                      </w:pPr>
                      <w:r>
                        <w:rPr>
                          <w:rFonts w:ascii="宋体" w:hAnsi="宋体" w:eastAsia="宋体" w:cs="宋体"/>
                          <w:color w:val="000000"/>
                          <w:sz w:val="44"/>
                        </w:rPr>
                        <w:t>泰安市</w:t>
                      </w:r>
                      <w:r>
                        <w:rPr>
                          <w:rFonts w:hint="eastAsia" w:ascii="宋体" w:hAnsi="宋体" w:eastAsia="宋体" w:cs="宋体"/>
                          <w:color w:val="000000"/>
                          <w:sz w:val="44"/>
                        </w:rPr>
                        <w:t>饭店烹饪</w:t>
                      </w:r>
                      <w:r>
                        <w:rPr>
                          <w:rFonts w:ascii="宋体" w:hAnsi="宋体" w:eastAsia="宋体" w:cs="宋体"/>
                          <w:color w:val="000000"/>
                          <w:sz w:val="44"/>
                        </w:rPr>
                        <w:t>协会</w:t>
                      </w:r>
                    </w:p>
                  </w:txbxContent>
                </v:textbox>
                <w10:wrap type="topAndBottom"/>
              </v:shape>
            </w:pict>
          </mc:Fallback>
        </mc:AlternateContent>
      </w:r>
      <w:r>
        <w:br w:type="page"/>
      </w:r>
    </w:p>
    <w:p w14:paraId="6EFA27CF">
      <w:pPr>
        <w:autoSpaceDE w:val="0"/>
        <w:autoSpaceDN w:val="0"/>
        <w:spacing w:before="960" w:line="600" w:lineRule="atLeast"/>
        <w:ind w:firstLine="3360" w:firstLineChars="1400"/>
        <w:rPr>
          <w:sz w:val="40"/>
        </w:rPr>
      </w:pPr>
      <w:r>
        <w:rPr>
          <w:rFonts w:ascii="宋体" w:hAnsi="宋体" w:eastAsia="宋体" w:cs="宋体"/>
          <w:color w:val="000000"/>
          <w:sz w:val="24"/>
        </w:rPr>
        <w:t>目</w:t>
      </w:r>
      <w:r>
        <w:rPr>
          <w:rFonts w:ascii="宋体" w:hAnsi="宋体" w:eastAsia="宋体" w:cs="宋体"/>
          <w:sz w:val="40"/>
        </w:rPr>
        <w:t xml:space="preserve">        </w:t>
      </w:r>
      <w:r>
        <w:rPr>
          <w:rFonts w:ascii="宋体" w:hAnsi="宋体" w:eastAsia="宋体" w:cs="宋体"/>
          <w:sz w:val="13"/>
        </w:rPr>
        <w:t xml:space="preserve"> </w:t>
      </w:r>
      <w:r>
        <w:rPr>
          <w:rFonts w:ascii="宋体" w:hAnsi="宋体" w:eastAsia="宋体" w:cs="宋体"/>
          <w:color w:val="000000"/>
          <w:sz w:val="24"/>
        </w:rPr>
        <w:t>录</w:t>
      </w:r>
    </w:p>
    <w:p w14:paraId="06480E5C">
      <w:pPr>
        <w:autoSpaceDE w:val="0"/>
        <w:autoSpaceDN w:val="0"/>
        <w:spacing w:before="920" w:line="300" w:lineRule="atLeast"/>
        <w:rPr>
          <w:sz w:val="24"/>
        </w:rPr>
      </w:pPr>
      <w:r>
        <w:rPr>
          <w:rFonts w:ascii="宋体" w:hAnsi="宋体" w:eastAsia="宋体" w:cs="宋体"/>
          <w:color w:val="000000"/>
          <w:sz w:val="24"/>
        </w:rPr>
        <w:t>一、社会培训评价组织开展职业技能等级认定工作流程要求…………………………</w:t>
      </w:r>
      <w:r>
        <w:rPr>
          <w:rFonts w:hint="eastAsia" w:ascii="宋体" w:hAnsi="宋体" w:eastAsia="宋体" w:cs="宋体"/>
          <w:color w:val="000000"/>
          <w:sz w:val="24"/>
        </w:rPr>
        <w:t>3</w:t>
      </w:r>
    </w:p>
    <w:p w14:paraId="45D0D3BB">
      <w:pPr>
        <w:autoSpaceDE w:val="0"/>
        <w:autoSpaceDN w:val="0"/>
        <w:spacing w:before="340" w:line="300" w:lineRule="atLeast"/>
        <w:rPr>
          <w:sz w:val="24"/>
        </w:rPr>
      </w:pPr>
      <w:r>
        <w:rPr>
          <w:rFonts w:ascii="宋体" w:hAnsi="宋体" w:eastAsia="宋体" w:cs="宋体"/>
          <w:color w:val="000000"/>
          <w:sz w:val="24"/>
        </w:rPr>
        <w:t>二、职业技能等级认定报名条件…………………………………………………………1</w:t>
      </w:r>
      <w:r>
        <w:rPr>
          <w:rFonts w:hint="eastAsia" w:ascii="宋体" w:hAnsi="宋体" w:eastAsia="宋体" w:cs="宋体"/>
          <w:color w:val="000000"/>
          <w:sz w:val="24"/>
        </w:rPr>
        <w:t>4</w:t>
      </w:r>
    </w:p>
    <w:p w14:paraId="17D591EB">
      <w:pPr>
        <w:autoSpaceDE w:val="0"/>
        <w:autoSpaceDN w:val="0"/>
        <w:spacing w:before="360" w:line="300" w:lineRule="atLeast"/>
        <w:rPr>
          <w:sz w:val="24"/>
        </w:rPr>
      </w:pPr>
      <w:r>
        <w:rPr>
          <w:rFonts w:ascii="宋体" w:hAnsi="宋体" w:eastAsia="宋体" w:cs="宋体"/>
          <w:color w:val="000000"/>
          <w:sz w:val="24"/>
        </w:rPr>
        <w:t>三、职业技能等级认定考点考务工作人员安排表………………………………………1</w:t>
      </w:r>
      <w:r>
        <w:rPr>
          <w:rFonts w:hint="eastAsia" w:ascii="宋体" w:hAnsi="宋体" w:eastAsia="宋体" w:cs="宋体"/>
          <w:color w:val="000000"/>
          <w:sz w:val="24"/>
        </w:rPr>
        <w:t>6</w:t>
      </w:r>
    </w:p>
    <w:p w14:paraId="319FC4C8">
      <w:pPr>
        <w:autoSpaceDE w:val="0"/>
        <w:autoSpaceDN w:val="0"/>
        <w:spacing w:before="340" w:line="300" w:lineRule="atLeast"/>
        <w:rPr>
          <w:sz w:val="24"/>
        </w:rPr>
      </w:pPr>
      <w:r>
        <w:rPr>
          <w:rFonts w:ascii="宋体" w:hAnsi="宋体" w:eastAsia="宋体" w:cs="宋体"/>
          <w:color w:val="000000"/>
          <w:sz w:val="24"/>
        </w:rPr>
        <w:t>四、职业技能等级认定考点考务要求……………………………………………………1</w:t>
      </w:r>
      <w:r>
        <w:rPr>
          <w:rFonts w:hint="eastAsia" w:ascii="宋体" w:hAnsi="宋体" w:eastAsia="宋体" w:cs="宋体"/>
          <w:color w:val="000000"/>
          <w:sz w:val="24"/>
        </w:rPr>
        <w:t>7</w:t>
      </w:r>
    </w:p>
    <w:p w14:paraId="2B64DEF5">
      <w:pPr>
        <w:autoSpaceDE w:val="0"/>
        <w:autoSpaceDN w:val="0"/>
        <w:spacing w:before="360" w:line="300" w:lineRule="atLeast"/>
        <w:rPr>
          <w:sz w:val="24"/>
        </w:rPr>
      </w:pPr>
      <w:r>
        <w:rPr>
          <w:rFonts w:ascii="宋体" w:hAnsi="宋体" w:eastAsia="宋体" w:cs="宋体"/>
          <w:color w:val="000000"/>
          <w:sz w:val="24"/>
        </w:rPr>
        <w:t>五、职业技能等级认定理论考场规则……………………………………………………1</w:t>
      </w:r>
      <w:r>
        <w:rPr>
          <w:rFonts w:hint="eastAsia" w:ascii="宋体" w:hAnsi="宋体" w:eastAsia="宋体" w:cs="宋体"/>
          <w:color w:val="000000"/>
          <w:sz w:val="24"/>
        </w:rPr>
        <w:t>8</w:t>
      </w:r>
    </w:p>
    <w:p w14:paraId="2B2A73D5">
      <w:pPr>
        <w:autoSpaceDE w:val="0"/>
        <w:autoSpaceDN w:val="0"/>
        <w:spacing w:before="340" w:line="300" w:lineRule="atLeast"/>
        <w:rPr>
          <w:sz w:val="24"/>
        </w:rPr>
      </w:pPr>
      <w:r>
        <w:rPr>
          <w:rFonts w:ascii="宋体" w:hAnsi="宋体" w:eastAsia="宋体" w:cs="宋体"/>
          <w:color w:val="000000"/>
          <w:sz w:val="24"/>
        </w:rPr>
        <w:t>六、职业技能等级认定操作技能考场规则………………………………………………</w:t>
      </w:r>
      <w:r>
        <w:rPr>
          <w:rFonts w:hint="eastAsia" w:ascii="宋体" w:hAnsi="宋体" w:eastAsia="宋体" w:cs="宋体"/>
          <w:color w:val="000000"/>
          <w:sz w:val="24"/>
        </w:rPr>
        <w:t>19</w:t>
      </w:r>
    </w:p>
    <w:p w14:paraId="3EB96450">
      <w:pPr>
        <w:autoSpaceDE w:val="0"/>
        <w:autoSpaceDN w:val="0"/>
        <w:spacing w:before="320" w:line="300" w:lineRule="atLeast"/>
        <w:rPr>
          <w:sz w:val="24"/>
        </w:rPr>
      </w:pPr>
      <w:r>
        <w:rPr>
          <w:rFonts w:ascii="宋体" w:hAnsi="宋体" w:eastAsia="宋体" w:cs="宋体"/>
          <w:color w:val="000000"/>
          <w:sz w:val="24"/>
        </w:rPr>
        <w:t>七、职业技能等级认定考生须知…………………………………………………………</w:t>
      </w:r>
      <w:r>
        <w:rPr>
          <w:rFonts w:hint="eastAsia" w:ascii="宋体" w:hAnsi="宋体" w:eastAsia="宋体" w:cs="宋体"/>
          <w:color w:val="000000"/>
          <w:sz w:val="24"/>
        </w:rPr>
        <w:t>21</w:t>
      </w:r>
    </w:p>
    <w:p w14:paraId="6B303EB0">
      <w:pPr>
        <w:autoSpaceDE w:val="0"/>
        <w:autoSpaceDN w:val="0"/>
        <w:spacing w:before="340" w:line="300" w:lineRule="atLeast"/>
        <w:rPr>
          <w:sz w:val="24"/>
        </w:rPr>
      </w:pPr>
      <w:r>
        <w:rPr>
          <w:rFonts w:ascii="宋体" w:hAnsi="宋体" w:eastAsia="宋体" w:cs="宋体"/>
          <w:color w:val="000000"/>
          <w:sz w:val="24"/>
        </w:rPr>
        <w:t>八、监考、考评人员工作流程……………………………………………………………2</w:t>
      </w:r>
      <w:r>
        <w:rPr>
          <w:rFonts w:hint="eastAsia" w:ascii="宋体" w:hAnsi="宋体" w:eastAsia="宋体" w:cs="宋体"/>
          <w:color w:val="000000"/>
          <w:sz w:val="24"/>
        </w:rPr>
        <w:t>2</w:t>
      </w:r>
    </w:p>
    <w:p w14:paraId="367D7F4A">
      <w:pPr>
        <w:autoSpaceDE w:val="0"/>
        <w:autoSpaceDN w:val="0"/>
        <w:spacing w:before="340" w:line="300" w:lineRule="atLeast"/>
        <w:rPr>
          <w:sz w:val="24"/>
        </w:rPr>
      </w:pPr>
      <w:r>
        <w:rPr>
          <w:rFonts w:ascii="宋体" w:hAnsi="宋体" w:eastAsia="宋体" w:cs="宋体"/>
          <w:color w:val="000000"/>
          <w:sz w:val="24"/>
        </w:rPr>
        <w:t>九、主考、副主考工作职责………………………………………………………………2</w:t>
      </w:r>
      <w:r>
        <w:rPr>
          <w:rFonts w:hint="eastAsia" w:ascii="宋体" w:hAnsi="宋体" w:eastAsia="宋体" w:cs="宋体"/>
          <w:color w:val="000000"/>
          <w:sz w:val="24"/>
        </w:rPr>
        <w:t>4</w:t>
      </w:r>
    </w:p>
    <w:p w14:paraId="6BE4B1CB">
      <w:pPr>
        <w:autoSpaceDE w:val="0"/>
        <w:autoSpaceDN w:val="0"/>
        <w:spacing w:before="340" w:line="300" w:lineRule="atLeast"/>
        <w:rPr>
          <w:sz w:val="24"/>
        </w:rPr>
      </w:pPr>
      <w:r>
        <w:rPr>
          <w:rFonts w:ascii="宋体" w:hAnsi="宋体" w:eastAsia="宋体" w:cs="宋体"/>
          <w:color w:val="000000"/>
          <w:sz w:val="24"/>
        </w:rPr>
        <w:t>十、监考人员工作职责……………………………………………………………………2</w:t>
      </w:r>
      <w:r>
        <w:rPr>
          <w:rFonts w:hint="eastAsia" w:ascii="宋体" w:hAnsi="宋体" w:eastAsia="宋体" w:cs="宋体"/>
          <w:color w:val="000000"/>
          <w:sz w:val="24"/>
        </w:rPr>
        <w:t>5</w:t>
      </w:r>
    </w:p>
    <w:p w14:paraId="307F97DF">
      <w:pPr>
        <w:autoSpaceDE w:val="0"/>
        <w:autoSpaceDN w:val="0"/>
        <w:spacing w:before="360" w:line="300" w:lineRule="atLeast"/>
        <w:rPr>
          <w:sz w:val="24"/>
        </w:rPr>
      </w:pPr>
      <w:r>
        <w:rPr>
          <w:rFonts w:ascii="宋体" w:hAnsi="宋体" w:eastAsia="宋体" w:cs="宋体"/>
          <w:color w:val="000000"/>
          <w:sz w:val="24"/>
        </w:rPr>
        <w:t>十一、考评人员工作职责…………………………………………………………………2</w:t>
      </w:r>
      <w:r>
        <w:rPr>
          <w:rFonts w:hint="eastAsia" w:ascii="宋体" w:hAnsi="宋体" w:eastAsia="宋体" w:cs="宋体"/>
          <w:color w:val="000000"/>
          <w:sz w:val="24"/>
        </w:rPr>
        <w:t>6</w:t>
      </w:r>
    </w:p>
    <w:p w14:paraId="54F95F28">
      <w:pPr>
        <w:autoSpaceDE w:val="0"/>
        <w:autoSpaceDN w:val="0"/>
        <w:spacing w:before="320" w:line="300" w:lineRule="atLeast"/>
        <w:rPr>
          <w:sz w:val="24"/>
        </w:rPr>
      </w:pPr>
      <w:r>
        <w:rPr>
          <w:rFonts w:ascii="宋体" w:hAnsi="宋体" w:eastAsia="宋体" w:cs="宋体"/>
          <w:color w:val="000000"/>
          <w:sz w:val="24"/>
        </w:rPr>
        <w:t>十二、巡视人员工作职责…………………………………………………………………</w:t>
      </w:r>
      <w:r>
        <w:rPr>
          <w:rFonts w:hint="eastAsia" w:ascii="宋体" w:hAnsi="宋体" w:eastAsia="宋体" w:cs="宋体"/>
          <w:color w:val="000000"/>
          <w:sz w:val="24"/>
        </w:rPr>
        <w:t>27</w:t>
      </w:r>
    </w:p>
    <w:p w14:paraId="6D418C32">
      <w:pPr>
        <w:autoSpaceDE w:val="0"/>
        <w:autoSpaceDN w:val="0"/>
        <w:spacing w:before="360" w:line="300" w:lineRule="atLeast"/>
        <w:rPr>
          <w:sz w:val="24"/>
        </w:rPr>
      </w:pPr>
      <w:r>
        <w:rPr>
          <w:rFonts w:ascii="宋体" w:hAnsi="宋体" w:eastAsia="宋体" w:cs="宋体"/>
          <w:color w:val="000000"/>
          <w:sz w:val="24"/>
        </w:rPr>
        <w:t>十三、督导人员工作职责…………………………………………………………………</w:t>
      </w:r>
      <w:r>
        <w:rPr>
          <w:rFonts w:hint="eastAsia" w:ascii="宋体" w:hAnsi="宋体" w:eastAsia="宋体" w:cs="宋体"/>
          <w:color w:val="000000"/>
          <w:sz w:val="24"/>
        </w:rPr>
        <w:t>28</w:t>
      </w:r>
    </w:p>
    <w:p w14:paraId="64A61AC5">
      <w:pPr>
        <w:autoSpaceDE w:val="0"/>
        <w:autoSpaceDN w:val="0"/>
        <w:spacing w:before="360" w:line="300" w:lineRule="atLeast"/>
        <w:rPr>
          <w:rFonts w:ascii="宋体" w:hAnsi="宋体" w:eastAsia="宋体" w:cs="宋体"/>
          <w:color w:val="000000"/>
          <w:sz w:val="24"/>
        </w:rPr>
      </w:pPr>
      <w:r>
        <w:rPr>
          <w:rFonts w:ascii="宋体" w:hAnsi="宋体" w:eastAsia="宋体" w:cs="宋体"/>
          <w:color w:val="000000"/>
          <w:sz w:val="24"/>
        </w:rPr>
        <w:t>十四、技能人才评价违纪违规行为处理工作指引(试行)………………………………</w:t>
      </w:r>
      <w:r>
        <w:rPr>
          <w:rFonts w:hint="eastAsia" w:ascii="宋体" w:hAnsi="宋体" w:eastAsia="宋体" w:cs="宋体"/>
          <w:color w:val="000000"/>
          <w:sz w:val="24"/>
        </w:rPr>
        <w:t>29</w:t>
      </w:r>
    </w:p>
    <w:p w14:paraId="670081A2">
      <w:pPr>
        <w:autoSpaceDE w:val="0"/>
        <w:autoSpaceDN w:val="0"/>
        <w:spacing w:before="360" w:line="300" w:lineRule="atLeast"/>
        <w:rPr>
          <w:sz w:val="24"/>
        </w:rPr>
      </w:pPr>
      <w:r>
        <w:rPr>
          <w:sz w:val="24"/>
        </w:rPr>
        <w:t>十五、职业技能等级认定考试值班电话</w:t>
      </w:r>
      <w:r>
        <w:rPr>
          <w:rFonts w:ascii="宋体" w:hAnsi="宋体" w:eastAsia="宋体" w:cs="宋体"/>
          <w:color w:val="000000"/>
          <w:sz w:val="24"/>
        </w:rPr>
        <w:t>…………………………………………………</w:t>
      </w:r>
      <w:r>
        <w:rPr>
          <w:rFonts w:hint="eastAsia" w:ascii="宋体" w:hAnsi="宋体" w:eastAsia="宋体" w:cs="宋体"/>
          <w:color w:val="000000"/>
          <w:sz w:val="24"/>
        </w:rPr>
        <w:t>37</w:t>
      </w:r>
    </w:p>
    <w:p w14:paraId="2AD38FE4">
      <w:pPr>
        <w:autoSpaceDE w:val="0"/>
        <w:autoSpaceDN w:val="0"/>
        <w:spacing w:before="360" w:line="300" w:lineRule="atLeast"/>
        <w:rPr>
          <w:sz w:val="24"/>
        </w:rPr>
      </w:pPr>
    </w:p>
    <w:p w14:paraId="30F793B4">
      <w:pPr>
        <w:autoSpaceDE w:val="0"/>
        <w:autoSpaceDN w:val="0"/>
        <w:spacing w:before="360" w:line="300" w:lineRule="atLeast"/>
        <w:rPr>
          <w:sz w:val="24"/>
        </w:rPr>
      </w:pPr>
    </w:p>
    <w:p w14:paraId="20220362">
      <w:pPr>
        <w:autoSpaceDE w:val="0"/>
        <w:autoSpaceDN w:val="0"/>
        <w:spacing w:before="360" w:line="300" w:lineRule="atLeast"/>
        <w:rPr>
          <w:sz w:val="24"/>
        </w:rPr>
      </w:pPr>
    </w:p>
    <w:p w14:paraId="1731FB3F">
      <w:pPr>
        <w:autoSpaceDE w:val="0"/>
        <w:autoSpaceDN w:val="0"/>
        <w:spacing w:before="360" w:line="300" w:lineRule="atLeast"/>
        <w:rPr>
          <w:sz w:val="24"/>
        </w:rPr>
      </w:pPr>
    </w:p>
    <w:p w14:paraId="2E74FBCA">
      <w:pPr>
        <w:autoSpaceDE w:val="0"/>
        <w:autoSpaceDN w:val="0"/>
        <w:spacing w:before="360" w:line="300" w:lineRule="atLeast"/>
        <w:rPr>
          <w:sz w:val="24"/>
        </w:rPr>
      </w:pPr>
    </w:p>
    <w:p w14:paraId="0EFFB558">
      <w:pPr>
        <w:autoSpaceDE w:val="0"/>
        <w:autoSpaceDN w:val="0"/>
        <w:spacing w:before="360" w:line="300" w:lineRule="atLeast"/>
        <w:rPr>
          <w:sz w:val="24"/>
        </w:rPr>
      </w:pPr>
    </w:p>
    <w:p w14:paraId="190401C6">
      <w:pPr>
        <w:spacing w:line="14" w:lineRule="exact"/>
      </w:pPr>
      <w:r>
        <mc:AlternateContent>
          <mc:Choice Requires="wps">
            <w:drawing>
              <wp:anchor distT="0" distB="0" distL="0" distR="0" simplePos="0" relativeHeight="251663360" behindDoc="0" locked="0" layoutInCell="1" allowOverlap="1">
                <wp:simplePos x="0" y="0"/>
                <wp:positionH relativeFrom="column">
                  <wp:posOffset>447040</wp:posOffset>
                </wp:positionH>
                <wp:positionV relativeFrom="paragraph">
                  <wp:posOffset>631190</wp:posOffset>
                </wp:positionV>
                <wp:extent cx="5629275" cy="1009650"/>
                <wp:effectExtent l="0" t="0" r="9525" b="0"/>
                <wp:wrapTopAndBottom/>
                <wp:docPr id="16" name="文本框 16"/>
                <wp:cNvGraphicFramePr/>
                <a:graphic xmlns:a="http://schemas.openxmlformats.org/drawingml/2006/main">
                  <a:graphicData uri="http://schemas.microsoft.com/office/word/2010/wordprocessingShape">
                    <wps:wsp>
                      <wps:cNvSpPr txBox="1"/>
                      <wps:spPr>
                        <a:xfrm>
                          <a:off x="0" y="0"/>
                          <a:ext cx="5629275" cy="1009650"/>
                        </a:xfrm>
                        <a:prstGeom prst="rect">
                          <a:avLst/>
                        </a:prstGeom>
                        <a:noFill/>
                        <a:ln w="6350">
                          <a:noFill/>
                        </a:ln>
                      </wps:spPr>
                      <wps:txbx>
                        <w:txbxContent>
                          <w:p w14:paraId="239BEAF4">
                            <w:pPr>
                              <w:autoSpaceDE w:val="0"/>
                              <w:autoSpaceDN w:val="0"/>
                              <w:spacing w:line="620" w:lineRule="atLeast"/>
                              <w:rPr>
                                <w:rFonts w:ascii="宋体" w:hAnsi="宋体" w:eastAsia="宋体" w:cs="宋体"/>
                                <w:color w:val="000000"/>
                                <w:sz w:val="40"/>
                              </w:rPr>
                            </w:pPr>
                            <w:r>
                              <w:rPr>
                                <w:rFonts w:ascii="宋体" w:hAnsi="宋体" w:eastAsia="宋体" w:cs="宋体"/>
                                <w:color w:val="000000"/>
                                <w:sz w:val="40"/>
                              </w:rPr>
                              <w:t>泰安市</w:t>
                            </w:r>
                            <w:r>
                              <w:rPr>
                                <w:rFonts w:hint="eastAsia" w:ascii="宋体" w:hAnsi="宋体" w:eastAsia="宋体" w:cs="宋体"/>
                                <w:color w:val="000000"/>
                                <w:sz w:val="40"/>
                              </w:rPr>
                              <w:t>饭店烹饪</w:t>
                            </w:r>
                            <w:r>
                              <w:rPr>
                                <w:rFonts w:ascii="宋体" w:hAnsi="宋体" w:eastAsia="宋体" w:cs="宋体"/>
                                <w:color w:val="000000"/>
                                <w:sz w:val="40"/>
                              </w:rPr>
                              <w:t>协会社会培训评价组织开展职业</w:t>
                            </w:r>
                          </w:p>
                          <w:p w14:paraId="3DFC1520">
                            <w:pPr>
                              <w:autoSpaceDE w:val="0"/>
                              <w:autoSpaceDN w:val="0"/>
                              <w:spacing w:line="620" w:lineRule="atLeast"/>
                              <w:ind w:firstLine="1400" w:firstLineChars="350"/>
                              <w:rPr>
                                <w:sz w:val="40"/>
                              </w:rPr>
                            </w:pPr>
                            <w:r>
                              <w:rPr>
                                <w:rFonts w:ascii="宋体" w:hAnsi="宋体" w:eastAsia="宋体" w:cs="宋体"/>
                                <w:color w:val="000000"/>
                                <w:sz w:val="40"/>
                              </w:rPr>
                              <w:t>技能等级认定</w:t>
                            </w:r>
                            <w:r>
                              <w:rPr>
                                <w:rFonts w:hint="eastAsia" w:ascii="宋体" w:hAnsi="宋体" w:eastAsia="宋体" w:cs="宋体"/>
                                <w:color w:val="000000"/>
                                <w:sz w:val="40"/>
                              </w:rPr>
                              <w:t>工作流程要求</w:t>
                            </w:r>
                          </w:p>
                          <w:p w14:paraId="515CE299">
                            <w:pPr>
                              <w:autoSpaceDE w:val="0"/>
                              <w:autoSpaceDN w:val="0"/>
                              <w:spacing w:line="480" w:lineRule="atLeast"/>
                              <w:rPr>
                                <w:sz w:val="40"/>
                              </w:rPr>
                            </w:pPr>
                          </w:p>
                        </w:txbxContent>
                      </wps:txbx>
                      <wps:bodyPr vert="horz" wrap="square" lIns="0" tIns="0" rIns="0" bIns="0" anchor="t">
                        <a:noAutofit/>
                      </wps:bodyPr>
                    </wps:wsp>
                  </a:graphicData>
                </a:graphic>
              </wp:anchor>
            </w:drawing>
          </mc:Choice>
          <mc:Fallback>
            <w:pict>
              <v:shape id="_x0000_s1026" o:spid="_x0000_s1026" o:spt="202" type="#_x0000_t202" style="position:absolute;left:0pt;margin-left:35.2pt;margin-top:49.7pt;height:79.5pt;width:443.25pt;mso-wrap-distance-bottom:0pt;mso-wrap-distance-top:0pt;z-index:251663360;mso-width-relative:page;mso-height-relative:page;" filled="f" stroked="f" coordsize="21600,21600" o:gfxdata="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yFPiA2QAAAAkB&#10;AAAPAAAAAAAAAAEAIAAAACIAAABkcnMvZG93bnJldi54bWxQSwECFAAUAAAACACHTuJAPsOGU+EB&#10;AACxAwAADgAAAAAAAAABACAAAAAoAQAAZHJzL2Uyb0RvYy54bWxQSwUGAAAAAAYABgBZAQAAewUA&#10;AAAA&#10;">
                <v:fill on="f" focussize="0,0"/>
                <v:stroke on="f" weight="0.5pt"/>
                <v:imagedata o:title=""/>
                <o:lock v:ext="edit" aspectratio="f"/>
                <v:textbox inset="0mm,0mm,0mm,0mm">
                  <w:txbxContent>
                    <w:p w14:paraId="239BEAF4">
                      <w:pPr>
                        <w:autoSpaceDE w:val="0"/>
                        <w:autoSpaceDN w:val="0"/>
                        <w:spacing w:line="620" w:lineRule="atLeast"/>
                        <w:rPr>
                          <w:rFonts w:ascii="宋体" w:hAnsi="宋体" w:eastAsia="宋体" w:cs="宋体"/>
                          <w:color w:val="000000"/>
                          <w:sz w:val="40"/>
                        </w:rPr>
                      </w:pPr>
                      <w:r>
                        <w:rPr>
                          <w:rFonts w:ascii="宋体" w:hAnsi="宋体" w:eastAsia="宋体" w:cs="宋体"/>
                          <w:color w:val="000000"/>
                          <w:sz w:val="40"/>
                        </w:rPr>
                        <w:t>泰安市</w:t>
                      </w:r>
                      <w:r>
                        <w:rPr>
                          <w:rFonts w:hint="eastAsia" w:ascii="宋体" w:hAnsi="宋体" w:eastAsia="宋体" w:cs="宋体"/>
                          <w:color w:val="000000"/>
                          <w:sz w:val="40"/>
                        </w:rPr>
                        <w:t>饭店烹饪</w:t>
                      </w:r>
                      <w:r>
                        <w:rPr>
                          <w:rFonts w:ascii="宋体" w:hAnsi="宋体" w:eastAsia="宋体" w:cs="宋体"/>
                          <w:color w:val="000000"/>
                          <w:sz w:val="40"/>
                        </w:rPr>
                        <w:t>协会社会培训评价组织开展职业</w:t>
                      </w:r>
                    </w:p>
                    <w:p w14:paraId="3DFC1520">
                      <w:pPr>
                        <w:autoSpaceDE w:val="0"/>
                        <w:autoSpaceDN w:val="0"/>
                        <w:spacing w:line="620" w:lineRule="atLeast"/>
                        <w:ind w:firstLine="1400" w:firstLineChars="350"/>
                        <w:rPr>
                          <w:sz w:val="40"/>
                        </w:rPr>
                      </w:pPr>
                      <w:r>
                        <w:rPr>
                          <w:rFonts w:ascii="宋体" w:hAnsi="宋体" w:eastAsia="宋体" w:cs="宋体"/>
                          <w:color w:val="000000"/>
                          <w:sz w:val="40"/>
                        </w:rPr>
                        <w:t>技能等级认定</w:t>
                      </w:r>
                      <w:r>
                        <w:rPr>
                          <w:rFonts w:hint="eastAsia" w:ascii="宋体" w:hAnsi="宋体" w:eastAsia="宋体" w:cs="宋体"/>
                          <w:color w:val="000000"/>
                          <w:sz w:val="40"/>
                        </w:rPr>
                        <w:t>工作流程要求</w:t>
                      </w:r>
                    </w:p>
                    <w:p w14:paraId="515CE299">
                      <w:pPr>
                        <w:autoSpaceDE w:val="0"/>
                        <w:autoSpaceDN w:val="0"/>
                        <w:spacing w:line="480" w:lineRule="atLeast"/>
                        <w:rPr>
                          <w:sz w:val="40"/>
                        </w:rPr>
                      </w:pPr>
                    </w:p>
                  </w:txbxContent>
                </v:textbox>
                <w10:wrap type="topAndBottom"/>
              </v:shape>
            </w:pict>
          </mc:Fallback>
        </mc:AlternateContent>
      </w:r>
    </w:p>
    <w:p w14:paraId="438199F8">
      <w:pPr>
        <w:autoSpaceDE w:val="0"/>
        <w:autoSpaceDN w:val="0"/>
        <w:spacing w:before="560" w:line="550" w:lineRule="atLeast"/>
        <w:ind w:left="210" w:leftChars="100" w:right="300" w:firstLine="480" w:firstLineChars="200"/>
        <w:rPr>
          <w:sz w:val="24"/>
        </w:rPr>
      </w:pPr>
      <w:r>
        <w:rPr>
          <w:rFonts w:ascii="宋体" w:hAnsi="宋体" w:eastAsia="宋体" w:cs="宋体"/>
          <w:color w:val="000000"/>
          <w:sz w:val="24"/>
        </w:rPr>
        <w:t>根据山东省公共就业和人才服务中心《关于印发&lt;山东省社会培训评价组织职业技能等级认定工作指引&gt;的通知》  (鲁就人〔2023〕6 号)和我市工作流程有关社会培训评价组织(以下简称“社评组织”)职业技能等级认定工作要求，本协会制定本工作流程。</w:t>
      </w:r>
    </w:p>
    <w:p w14:paraId="5C4447F7">
      <w:pPr>
        <w:autoSpaceDE w:val="0"/>
        <w:autoSpaceDN w:val="0"/>
        <w:spacing w:before="20" w:line="547" w:lineRule="atLeast"/>
        <w:ind w:left="360" w:right="320" w:firstLine="580"/>
        <w:rPr>
          <w:sz w:val="24"/>
        </w:rPr>
      </w:pPr>
      <w:r>
        <w:rPr>
          <w:rFonts w:ascii="宋体" w:hAnsi="宋体" w:eastAsia="宋体" w:cs="宋体"/>
          <w:color w:val="000000"/>
          <w:sz w:val="24"/>
        </w:rPr>
        <w:t>社评组织职业技能等级认定实行属地化管理。社评组织应严格按照“谁评价、谁发证、谁负责”原则承担主体责任，按照技能人才评价有关文件要求和工作计划，规范组织实施职业技能等级认定工作。</w:t>
      </w:r>
    </w:p>
    <w:p w14:paraId="26E6D2CC">
      <w:pPr>
        <w:autoSpaceDE w:val="0"/>
        <w:autoSpaceDN w:val="0"/>
        <w:spacing w:before="240" w:line="320" w:lineRule="atLeast"/>
        <w:ind w:left="360"/>
        <w:rPr>
          <w:sz w:val="24"/>
        </w:rPr>
      </w:pPr>
      <w:r>
        <w:rPr>
          <w:rFonts w:ascii="宋体" w:hAnsi="宋体" w:eastAsia="宋体" w:cs="宋体"/>
          <w:color w:val="000000"/>
          <w:sz w:val="24"/>
        </w:rPr>
        <w:t>一、制定年度公告(计划公告于每年度1月底前面向社会公开发布)</w:t>
      </w:r>
    </w:p>
    <w:p w14:paraId="7079F83E">
      <w:pPr>
        <w:autoSpaceDE w:val="0"/>
        <w:autoSpaceDN w:val="0"/>
        <w:spacing w:before="20" w:line="560" w:lineRule="atLeast"/>
        <w:ind w:left="360" w:right="340"/>
        <w:rPr>
          <w:sz w:val="24"/>
        </w:rPr>
      </w:pPr>
      <w:r>
        <w:rPr>
          <w:rFonts w:ascii="宋体" w:hAnsi="宋体" w:eastAsia="宋体" w:cs="宋体"/>
          <w:color w:val="000000"/>
          <w:sz w:val="24"/>
        </w:rPr>
        <w:t>1、协会制定2024年度认定计划公告表(现只限于2024年</w:t>
      </w:r>
      <w:r>
        <w:rPr>
          <w:rFonts w:hint="eastAsia" w:ascii="宋体" w:hAnsi="宋体" w:eastAsia="宋体" w:cs="宋体"/>
          <w:color w:val="000000"/>
          <w:sz w:val="24"/>
          <w:lang w:val="en-US" w:eastAsia="zh-CN"/>
        </w:rPr>
        <w:t>12</w:t>
      </w:r>
      <w:r>
        <w:rPr>
          <w:rFonts w:ascii="宋体" w:hAnsi="宋体" w:eastAsia="宋体" w:cs="宋体"/>
          <w:color w:val="000000"/>
          <w:sz w:val="24"/>
        </w:rPr>
        <w:t>月</w:t>
      </w:r>
      <w:r>
        <w:rPr>
          <w:rFonts w:hint="eastAsia" w:ascii="宋体" w:hAnsi="宋体" w:eastAsia="宋体" w:cs="宋体"/>
          <w:color w:val="000000"/>
          <w:sz w:val="24"/>
          <w:lang w:val="en-US" w:eastAsia="zh-CN"/>
        </w:rPr>
        <w:t>25</w:t>
      </w:r>
      <w:r>
        <w:rPr>
          <w:rFonts w:ascii="宋体" w:hAnsi="宋体" w:eastAsia="宋体" w:cs="宋体"/>
          <w:color w:val="000000"/>
          <w:sz w:val="24"/>
        </w:rPr>
        <w:t>日开展中式烹调师、中式面点师、餐厅服务员专业)。</w:t>
      </w:r>
    </w:p>
    <w:p w14:paraId="6EEFF8AF">
      <w:pPr>
        <w:spacing w:line="140" w:lineRule="exact"/>
      </w:pPr>
    </w:p>
    <w:tbl>
      <w:tblPr>
        <w:tblStyle w:val="5"/>
        <w:tblW w:w="0" w:type="auto"/>
        <w:tblInd w:w="-139"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502"/>
        <w:gridCol w:w="1040"/>
        <w:gridCol w:w="1300"/>
        <w:gridCol w:w="640"/>
        <w:gridCol w:w="1540"/>
        <w:gridCol w:w="1499"/>
        <w:gridCol w:w="1861"/>
        <w:gridCol w:w="1460"/>
      </w:tblGrid>
      <w:tr w14:paraId="667DFA5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80" w:hRule="atLeast"/>
        </w:trPr>
        <w:tc>
          <w:tcPr>
            <w:tcW w:w="502" w:type="dxa"/>
            <w:textDirection w:val="tbRlV"/>
            <w:vAlign w:val="center"/>
          </w:tcPr>
          <w:p w14:paraId="27FEF9F0">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序号</w:t>
            </w:r>
          </w:p>
        </w:tc>
        <w:tc>
          <w:tcPr>
            <w:tcW w:w="1040" w:type="dxa"/>
            <w:vAlign w:val="center"/>
          </w:tcPr>
          <w:p w14:paraId="2CD1173E">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认定单位</w:t>
            </w:r>
          </w:p>
        </w:tc>
        <w:tc>
          <w:tcPr>
            <w:tcW w:w="1300" w:type="dxa"/>
            <w:vAlign w:val="center"/>
          </w:tcPr>
          <w:p w14:paraId="362880C8">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职业(工种)</w:t>
            </w:r>
          </w:p>
        </w:tc>
        <w:tc>
          <w:tcPr>
            <w:tcW w:w="640" w:type="dxa"/>
            <w:vAlign w:val="center"/>
          </w:tcPr>
          <w:p w14:paraId="3C513CE2">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认定</w:t>
            </w:r>
          </w:p>
          <w:p w14:paraId="1BCEE020">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等级</w:t>
            </w:r>
          </w:p>
        </w:tc>
        <w:tc>
          <w:tcPr>
            <w:tcW w:w="1540" w:type="dxa"/>
            <w:vAlign w:val="center"/>
          </w:tcPr>
          <w:p w14:paraId="2F4FFE5A">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报名时间</w:t>
            </w:r>
          </w:p>
        </w:tc>
        <w:tc>
          <w:tcPr>
            <w:tcW w:w="1499" w:type="dxa"/>
            <w:vAlign w:val="center"/>
          </w:tcPr>
          <w:p w14:paraId="0AD27A1A">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认定时间</w:t>
            </w:r>
          </w:p>
        </w:tc>
        <w:tc>
          <w:tcPr>
            <w:tcW w:w="1861" w:type="dxa"/>
            <w:vAlign w:val="center"/>
          </w:tcPr>
          <w:p w14:paraId="21071C83">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认定地点</w:t>
            </w:r>
          </w:p>
        </w:tc>
        <w:tc>
          <w:tcPr>
            <w:tcW w:w="1460" w:type="dxa"/>
            <w:vAlign w:val="center"/>
          </w:tcPr>
          <w:p w14:paraId="3E6EBB23">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联系方式</w:t>
            </w:r>
          </w:p>
        </w:tc>
      </w:tr>
      <w:tr w14:paraId="6D8B6B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261" w:hRule="atLeast"/>
        </w:trPr>
        <w:tc>
          <w:tcPr>
            <w:tcW w:w="502" w:type="dxa"/>
            <w:vAlign w:val="center"/>
          </w:tcPr>
          <w:p w14:paraId="54B0076F">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1</w:t>
            </w:r>
          </w:p>
        </w:tc>
        <w:tc>
          <w:tcPr>
            <w:tcW w:w="1040" w:type="dxa"/>
            <w:vAlign w:val="center"/>
          </w:tcPr>
          <w:p w14:paraId="05614D6D">
            <w:pPr>
              <w:autoSpaceDE w:val="0"/>
              <w:autoSpaceDN w:val="0"/>
              <w:spacing w:before="380" w:line="180" w:lineRule="atLeast"/>
              <w:jc w:val="center"/>
              <w:rPr>
                <w:rFonts w:asciiTheme="minorEastAsia" w:hAnsiTheme="minorEastAsia"/>
                <w:sz w:val="18"/>
                <w:szCs w:val="18"/>
              </w:rPr>
            </w:pPr>
            <w:r>
              <w:rPr>
                <w:rFonts w:asciiTheme="minorEastAsia" w:hAnsiTheme="minorEastAsia"/>
                <w:sz w:val="18"/>
                <w:szCs w:val="18"/>
              </w:rPr>
              <w:t>泰安市饭店烹饪协会</w:t>
            </w:r>
          </w:p>
        </w:tc>
        <w:tc>
          <w:tcPr>
            <w:tcW w:w="1300" w:type="dxa"/>
            <w:vAlign w:val="center"/>
          </w:tcPr>
          <w:p w14:paraId="195F1B6E">
            <w:pPr>
              <w:autoSpaceDE w:val="0"/>
              <w:autoSpaceDN w:val="0"/>
              <w:spacing w:line="180" w:lineRule="atLeast"/>
              <w:jc w:val="center"/>
              <w:rPr>
                <w:rFonts w:asciiTheme="minorEastAsia" w:hAnsiTheme="minorEastAsia"/>
                <w:sz w:val="18"/>
                <w:szCs w:val="18"/>
              </w:rPr>
            </w:pPr>
            <w:r>
              <w:rPr>
                <w:rFonts w:asciiTheme="minorEastAsia" w:hAnsiTheme="minorEastAsia"/>
                <w:sz w:val="18"/>
                <w:szCs w:val="18"/>
              </w:rPr>
              <w:t>中式烹调师</w:t>
            </w:r>
          </w:p>
          <w:p w14:paraId="095CFD94">
            <w:pPr>
              <w:autoSpaceDE w:val="0"/>
              <w:autoSpaceDN w:val="0"/>
              <w:spacing w:line="180" w:lineRule="atLeast"/>
              <w:jc w:val="center"/>
              <w:rPr>
                <w:rFonts w:asciiTheme="minorEastAsia" w:hAnsiTheme="minorEastAsia"/>
                <w:sz w:val="18"/>
                <w:szCs w:val="18"/>
              </w:rPr>
            </w:pPr>
            <w:r>
              <w:rPr>
                <w:rFonts w:hint="eastAsia" w:asciiTheme="minorEastAsia" w:hAnsiTheme="minorEastAsia"/>
                <w:sz w:val="18"/>
                <w:szCs w:val="18"/>
              </w:rPr>
              <w:t>中式面点师</w:t>
            </w:r>
          </w:p>
          <w:p w14:paraId="18B5EE7D">
            <w:pPr>
              <w:autoSpaceDE w:val="0"/>
              <w:autoSpaceDN w:val="0"/>
              <w:spacing w:line="180" w:lineRule="atLeast"/>
              <w:jc w:val="center"/>
              <w:rPr>
                <w:rFonts w:asciiTheme="minorEastAsia" w:hAnsiTheme="minorEastAsia"/>
                <w:sz w:val="18"/>
                <w:szCs w:val="18"/>
              </w:rPr>
            </w:pPr>
          </w:p>
        </w:tc>
        <w:tc>
          <w:tcPr>
            <w:tcW w:w="640" w:type="dxa"/>
            <w:vAlign w:val="center"/>
          </w:tcPr>
          <w:p w14:paraId="1B5F7AB2">
            <w:pPr>
              <w:autoSpaceDE w:val="0"/>
              <w:autoSpaceDN w:val="0"/>
              <w:spacing w:line="180" w:lineRule="atLeast"/>
              <w:jc w:val="center"/>
              <w:rPr>
                <w:rFonts w:cs="宋体" w:asciiTheme="minorEastAsia" w:hAnsiTheme="minorEastAsia"/>
                <w:color w:val="000000"/>
                <w:sz w:val="18"/>
                <w:szCs w:val="18"/>
              </w:rPr>
            </w:pPr>
          </w:p>
          <w:p w14:paraId="47BDA3C6">
            <w:pPr>
              <w:autoSpaceDE w:val="0"/>
              <w:autoSpaceDN w:val="0"/>
              <w:spacing w:line="180" w:lineRule="atLeast"/>
              <w:jc w:val="center"/>
              <w:rPr>
                <w:rFonts w:hint="eastAsia" w:cs="宋体" w:asciiTheme="minorEastAsia" w:hAnsiTheme="minorEastAsia"/>
                <w:color w:val="000000"/>
                <w:sz w:val="18"/>
                <w:szCs w:val="18"/>
              </w:rPr>
            </w:pPr>
            <w:r>
              <w:rPr>
                <w:rFonts w:hint="eastAsia" w:cs="宋体" w:asciiTheme="minorEastAsia" w:hAnsiTheme="minorEastAsia"/>
                <w:color w:val="000000"/>
                <w:sz w:val="18"/>
                <w:szCs w:val="18"/>
              </w:rPr>
              <w:t>一级</w:t>
            </w:r>
          </w:p>
          <w:p w14:paraId="0DB9F282">
            <w:pPr>
              <w:autoSpaceDE w:val="0"/>
              <w:autoSpaceDN w:val="0"/>
              <w:spacing w:line="180" w:lineRule="atLeast"/>
              <w:jc w:val="center"/>
              <w:rPr>
                <w:rFonts w:hint="eastAsia" w:cs="宋体" w:asciiTheme="minorEastAsia" w:hAnsiTheme="minorEastAsia"/>
                <w:color w:val="000000"/>
                <w:sz w:val="18"/>
                <w:szCs w:val="18"/>
                <w:lang w:val="en-US" w:eastAsia="zh-CN"/>
              </w:rPr>
            </w:pPr>
            <w:r>
              <w:rPr>
                <w:rFonts w:hint="eastAsia" w:cs="宋体" w:asciiTheme="minorEastAsia" w:hAnsiTheme="minorEastAsia"/>
                <w:color w:val="000000"/>
                <w:sz w:val="18"/>
                <w:szCs w:val="18"/>
                <w:lang w:val="en-US" w:eastAsia="zh-CN"/>
              </w:rPr>
              <w:t>三级</w:t>
            </w:r>
          </w:p>
          <w:p w14:paraId="04A89BD8">
            <w:pPr>
              <w:autoSpaceDE w:val="0"/>
              <w:autoSpaceDN w:val="0"/>
              <w:spacing w:line="180" w:lineRule="atLeast"/>
              <w:jc w:val="center"/>
              <w:rPr>
                <w:rFonts w:hint="eastAsia" w:cs="宋体" w:asciiTheme="minorEastAsia" w:hAnsiTheme="minorEastAsia"/>
                <w:color w:val="000000"/>
                <w:sz w:val="18"/>
                <w:szCs w:val="18"/>
                <w:lang w:val="en-US" w:eastAsia="zh-CN"/>
              </w:rPr>
            </w:pPr>
            <w:r>
              <w:rPr>
                <w:rFonts w:hint="eastAsia" w:cs="宋体" w:asciiTheme="minorEastAsia" w:hAnsiTheme="minorEastAsia"/>
                <w:color w:val="000000"/>
                <w:sz w:val="18"/>
                <w:szCs w:val="18"/>
                <w:lang w:val="en-US" w:eastAsia="zh-CN"/>
              </w:rPr>
              <w:t>四级</w:t>
            </w:r>
          </w:p>
          <w:p w14:paraId="620D9F2C">
            <w:pPr>
              <w:autoSpaceDE w:val="0"/>
              <w:autoSpaceDN w:val="0"/>
              <w:spacing w:line="180" w:lineRule="atLeast"/>
              <w:jc w:val="center"/>
              <w:rPr>
                <w:rFonts w:hint="eastAsia" w:cs="宋体" w:asciiTheme="minorEastAsia" w:hAnsiTheme="minorEastAsia"/>
                <w:color w:val="000000"/>
                <w:sz w:val="18"/>
                <w:szCs w:val="18"/>
                <w:lang w:val="en-US" w:eastAsia="zh-CN"/>
              </w:rPr>
            </w:pPr>
            <w:r>
              <w:rPr>
                <w:rFonts w:hint="eastAsia" w:cs="宋体" w:asciiTheme="minorEastAsia" w:hAnsiTheme="minorEastAsia"/>
                <w:color w:val="000000"/>
                <w:sz w:val="18"/>
                <w:szCs w:val="18"/>
                <w:lang w:val="en-US" w:eastAsia="zh-CN"/>
              </w:rPr>
              <w:t>五级</w:t>
            </w:r>
          </w:p>
          <w:p w14:paraId="1F4D1816">
            <w:pPr>
              <w:autoSpaceDE w:val="0"/>
              <w:autoSpaceDN w:val="0"/>
              <w:spacing w:line="180" w:lineRule="atLeast"/>
              <w:jc w:val="center"/>
              <w:rPr>
                <w:rFonts w:hint="default" w:cs="宋体" w:asciiTheme="minorEastAsia" w:hAnsiTheme="minorEastAsia"/>
                <w:color w:val="000000"/>
                <w:sz w:val="18"/>
                <w:szCs w:val="18"/>
                <w:lang w:val="en-US" w:eastAsia="zh-CN"/>
              </w:rPr>
            </w:pPr>
          </w:p>
        </w:tc>
        <w:tc>
          <w:tcPr>
            <w:tcW w:w="1540" w:type="dxa"/>
          </w:tcPr>
          <w:p w14:paraId="2DE5282A">
            <w:pPr>
              <w:autoSpaceDE w:val="0"/>
              <w:autoSpaceDN w:val="0"/>
              <w:spacing w:before="440" w:line="180" w:lineRule="atLeast"/>
              <w:rPr>
                <w:rFonts w:asciiTheme="minorEastAsia" w:hAnsiTheme="minorEastAsia"/>
                <w:sz w:val="18"/>
                <w:szCs w:val="18"/>
              </w:rPr>
            </w:pPr>
            <w:r>
              <w:rPr>
                <w:rFonts w:cs="宋体" w:asciiTheme="minorEastAsia" w:hAnsiTheme="minorEastAsia"/>
                <w:color w:val="000000"/>
                <w:sz w:val="18"/>
                <w:szCs w:val="18"/>
              </w:rPr>
              <w:t>2024年</w:t>
            </w:r>
            <w:r>
              <w:rPr>
                <w:rFonts w:hint="eastAsia" w:cs="宋体" w:asciiTheme="minorEastAsia" w:hAnsiTheme="minorEastAsia"/>
                <w:color w:val="000000"/>
                <w:sz w:val="18"/>
                <w:szCs w:val="18"/>
                <w:lang w:val="en-US" w:eastAsia="zh-CN"/>
              </w:rPr>
              <w:t>11</w:t>
            </w:r>
            <w:r>
              <w:rPr>
                <w:rFonts w:cs="宋体" w:asciiTheme="minorEastAsia" w:hAnsiTheme="minorEastAsia"/>
                <w:color w:val="000000"/>
                <w:sz w:val="18"/>
                <w:szCs w:val="18"/>
              </w:rPr>
              <w:t>月</w:t>
            </w:r>
            <w:r>
              <w:rPr>
                <w:rFonts w:hint="eastAsia" w:cs="宋体" w:asciiTheme="minorEastAsia" w:hAnsiTheme="minorEastAsia"/>
                <w:color w:val="000000"/>
                <w:sz w:val="18"/>
                <w:szCs w:val="18"/>
                <w:lang w:val="en-US" w:eastAsia="zh-CN"/>
              </w:rPr>
              <w:t>01</w:t>
            </w:r>
            <w:r>
              <w:rPr>
                <w:rFonts w:cs="宋体" w:asciiTheme="minorEastAsia" w:hAnsiTheme="minorEastAsia"/>
                <w:color w:val="000000"/>
                <w:sz w:val="18"/>
                <w:szCs w:val="18"/>
              </w:rPr>
              <w:t>日至2024年</w:t>
            </w:r>
            <w:r>
              <w:rPr>
                <w:rFonts w:hint="eastAsia" w:cs="宋体" w:asciiTheme="minorEastAsia" w:hAnsiTheme="minorEastAsia"/>
                <w:color w:val="000000"/>
                <w:sz w:val="18"/>
                <w:szCs w:val="18"/>
                <w:lang w:val="en-US" w:eastAsia="zh-CN"/>
              </w:rPr>
              <w:t>12</w:t>
            </w:r>
            <w:r>
              <w:rPr>
                <w:rFonts w:cs="宋体" w:asciiTheme="minorEastAsia" w:hAnsiTheme="minorEastAsia"/>
                <w:color w:val="000000"/>
                <w:sz w:val="18"/>
                <w:szCs w:val="18"/>
              </w:rPr>
              <w:t>月</w:t>
            </w:r>
            <w:r>
              <w:rPr>
                <w:rFonts w:hint="eastAsia" w:cs="宋体" w:asciiTheme="minorEastAsia" w:hAnsiTheme="minorEastAsia"/>
                <w:color w:val="000000"/>
                <w:sz w:val="18"/>
                <w:szCs w:val="18"/>
                <w:lang w:val="en-US" w:eastAsia="zh-CN"/>
              </w:rPr>
              <w:t>10</w:t>
            </w:r>
            <w:r>
              <w:rPr>
                <w:rFonts w:cs="宋体" w:asciiTheme="minorEastAsia" w:hAnsiTheme="minorEastAsia"/>
                <w:color w:val="000000"/>
                <w:sz w:val="18"/>
                <w:szCs w:val="18"/>
              </w:rPr>
              <w:t>日</w:t>
            </w:r>
          </w:p>
        </w:tc>
        <w:tc>
          <w:tcPr>
            <w:tcW w:w="1499" w:type="dxa"/>
            <w:vAlign w:val="center"/>
          </w:tcPr>
          <w:p w14:paraId="2D2EA994">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2024年</w:t>
            </w:r>
            <w:r>
              <w:rPr>
                <w:rFonts w:hint="eastAsia" w:cs="宋体" w:asciiTheme="minorEastAsia" w:hAnsiTheme="minorEastAsia"/>
                <w:color w:val="000000"/>
                <w:sz w:val="18"/>
                <w:szCs w:val="18"/>
                <w:lang w:val="en-US" w:eastAsia="zh-CN"/>
              </w:rPr>
              <w:t>12</w:t>
            </w:r>
            <w:r>
              <w:rPr>
                <w:rFonts w:cs="宋体" w:asciiTheme="minorEastAsia" w:hAnsiTheme="minorEastAsia"/>
                <w:color w:val="000000"/>
                <w:sz w:val="18"/>
                <w:szCs w:val="18"/>
              </w:rPr>
              <w:t>月</w:t>
            </w:r>
            <w:r>
              <w:rPr>
                <w:rFonts w:hint="eastAsia" w:asciiTheme="minorEastAsia" w:hAnsiTheme="minorEastAsia"/>
                <w:sz w:val="18"/>
                <w:szCs w:val="18"/>
                <w:lang w:val="en-US" w:eastAsia="zh-CN"/>
              </w:rPr>
              <w:t>25</w:t>
            </w:r>
            <w:r>
              <w:rPr>
                <w:rFonts w:cs="宋体" w:asciiTheme="minorEastAsia" w:hAnsiTheme="minorEastAsia"/>
                <w:color w:val="000000"/>
                <w:sz w:val="18"/>
                <w:szCs w:val="18"/>
              </w:rPr>
              <w:t>日</w:t>
            </w:r>
          </w:p>
        </w:tc>
        <w:tc>
          <w:tcPr>
            <w:tcW w:w="1861" w:type="dxa"/>
            <w:vAlign w:val="center"/>
          </w:tcPr>
          <w:p w14:paraId="765508A3">
            <w:pPr>
              <w:autoSpaceDE w:val="0"/>
              <w:autoSpaceDN w:val="0"/>
              <w:spacing w:before="380" w:line="180" w:lineRule="atLeast"/>
              <w:jc w:val="center"/>
              <w:rPr>
                <w:rFonts w:asciiTheme="minorEastAsia" w:hAnsiTheme="minorEastAsia"/>
                <w:sz w:val="18"/>
                <w:szCs w:val="18"/>
              </w:rPr>
            </w:pPr>
            <w:r>
              <w:rPr>
                <w:rFonts w:cs="宋体" w:asciiTheme="minorEastAsia" w:hAnsiTheme="minorEastAsia"/>
                <w:color w:val="000000"/>
                <w:sz w:val="18"/>
                <w:szCs w:val="18"/>
              </w:rPr>
              <w:t>泰安市泰山区龙潭路</w:t>
            </w:r>
            <w:r>
              <w:rPr>
                <w:rFonts w:hint="eastAsia" w:cs="宋体" w:asciiTheme="minorEastAsia" w:hAnsiTheme="minorEastAsia"/>
                <w:color w:val="000000"/>
                <w:sz w:val="18"/>
                <w:szCs w:val="18"/>
              </w:rPr>
              <w:t>217-2号</w:t>
            </w:r>
          </w:p>
        </w:tc>
        <w:tc>
          <w:tcPr>
            <w:tcW w:w="1460" w:type="dxa"/>
            <w:vAlign w:val="center"/>
          </w:tcPr>
          <w:p w14:paraId="0238BB2A">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0538-8</w:t>
            </w:r>
            <w:r>
              <w:rPr>
                <w:rFonts w:hint="eastAsia" w:cs="宋体" w:asciiTheme="minorEastAsia" w:hAnsiTheme="minorEastAsia"/>
                <w:color w:val="000000"/>
                <w:sz w:val="18"/>
                <w:szCs w:val="18"/>
              </w:rPr>
              <w:t>272377</w:t>
            </w:r>
          </w:p>
        </w:tc>
      </w:tr>
    </w:tbl>
    <w:p w14:paraId="7F589B81">
      <w:pPr>
        <w:autoSpaceDE w:val="0"/>
        <w:autoSpaceDN w:val="0"/>
        <w:spacing w:line="547" w:lineRule="atLeast"/>
        <w:ind w:left="360" w:right="320"/>
        <w:rPr>
          <w:sz w:val="24"/>
          <w:szCs w:val="24"/>
        </w:rPr>
      </w:pPr>
      <w:r>
        <w:rPr>
          <w:rFonts w:ascii="宋体" w:hAnsi="宋体" w:eastAsia="宋体" w:cs="宋体"/>
          <w:color w:val="000000"/>
          <w:sz w:val="24"/>
          <w:szCs w:val="24"/>
        </w:rPr>
        <w:t>2、计划制定完成后报区公共就业和人才服务中心技能人才评价管理服务科审核，审定计划后，泰安市饭店烹饪协会通过本机构公众号发布及张贴公告栏的方式发布计划公告，并可在计划公告发布15日后进行评价。</w:t>
      </w:r>
    </w:p>
    <w:p w14:paraId="544C6806">
      <w:pPr>
        <w:autoSpaceDE w:val="0"/>
        <w:autoSpaceDN w:val="0"/>
        <w:spacing w:line="547" w:lineRule="atLeast"/>
        <w:ind w:left="360" w:right="320"/>
        <w:rPr>
          <w:sz w:val="24"/>
          <w:szCs w:val="24"/>
        </w:rPr>
      </w:pPr>
      <w:r>
        <w:rPr>
          <w:rFonts w:ascii="宋体" w:hAnsi="宋体" w:eastAsia="宋体" w:cs="宋体"/>
          <w:color w:val="000000"/>
          <w:sz w:val="24"/>
          <w:szCs w:val="24"/>
        </w:rPr>
        <w:t>二、接收报名</w:t>
      </w:r>
    </w:p>
    <w:p w14:paraId="5EDE1058">
      <w:pPr>
        <w:autoSpaceDE w:val="0"/>
        <w:autoSpaceDN w:val="0"/>
        <w:spacing w:before="320" w:line="300" w:lineRule="atLeast"/>
        <w:ind w:left="60"/>
        <w:rPr>
          <w:sz w:val="24"/>
          <w:szCs w:val="24"/>
        </w:rPr>
      </w:pPr>
      <w:r>
        <w:rPr>
          <w:rFonts w:ascii="宋体" w:hAnsi="宋体" w:eastAsia="宋体" w:cs="宋体"/>
          <w:color w:val="000000"/>
          <w:sz w:val="24"/>
          <w:szCs w:val="24"/>
        </w:rPr>
        <w:t>1、所有考生需提供的材料</w:t>
      </w:r>
    </w:p>
    <w:p w14:paraId="49A7450B">
      <w:pPr>
        <w:autoSpaceDE w:val="0"/>
        <w:autoSpaceDN w:val="0"/>
        <w:spacing w:before="300" w:line="300" w:lineRule="atLeast"/>
        <w:rPr>
          <w:sz w:val="24"/>
          <w:szCs w:val="24"/>
        </w:rPr>
      </w:pPr>
      <w:r>
        <w:rPr>
          <w:rFonts w:hint="eastAsia" w:ascii="宋体" w:hAnsi="宋体" w:eastAsia="宋体" w:cs="宋体"/>
          <w:color w:val="000000"/>
          <w:sz w:val="24"/>
          <w:szCs w:val="24"/>
        </w:rPr>
        <w:t>①</w:t>
      </w:r>
      <w:r>
        <w:rPr>
          <w:rFonts w:ascii="宋体" w:hAnsi="宋体" w:eastAsia="宋体" w:cs="宋体"/>
          <w:color w:val="000000"/>
          <w:sz w:val="24"/>
          <w:szCs w:val="24"/>
        </w:rPr>
        <w:t>《社会培训评价组织职业技能等级认定申报表》一式两份，有工作单位的加盖单位公章；</w:t>
      </w:r>
    </w:p>
    <w:p w14:paraId="1CCD81CD">
      <w:pPr>
        <w:autoSpaceDE w:val="0"/>
        <w:autoSpaceDN w:val="0"/>
        <w:spacing w:before="300" w:line="300" w:lineRule="atLeast"/>
        <w:rPr>
          <w:sz w:val="24"/>
          <w:szCs w:val="24"/>
        </w:rPr>
      </w:pPr>
      <w:r>
        <w:rPr>
          <w:rFonts w:hint="eastAsia" w:ascii="宋体" w:hAnsi="宋体" w:eastAsia="宋体" w:cs="宋体"/>
          <w:color w:val="000000"/>
          <w:sz w:val="24"/>
          <w:szCs w:val="24"/>
        </w:rPr>
        <w:t>②</w:t>
      </w:r>
      <w:r>
        <w:rPr>
          <w:rFonts w:ascii="宋体" w:hAnsi="宋体" w:eastAsia="宋体" w:cs="宋体"/>
          <w:color w:val="000000"/>
          <w:sz w:val="24"/>
          <w:szCs w:val="24"/>
        </w:rPr>
        <w:t>身份证原件(现场审核出示) 、 身份证复印件1份；</w:t>
      </w:r>
    </w:p>
    <w:p w14:paraId="6C0548BF">
      <w:pPr>
        <w:autoSpaceDE w:val="0"/>
        <w:autoSpaceDN w:val="0"/>
        <w:spacing w:before="40" w:line="640" w:lineRule="atLeast"/>
        <w:ind w:left="40"/>
        <w:rPr>
          <w:rFonts w:ascii="宋体" w:hAnsi="宋体" w:eastAsia="宋体" w:cs="宋体"/>
          <w:color w:val="000000"/>
          <w:sz w:val="24"/>
          <w:szCs w:val="24"/>
        </w:rPr>
      </w:pPr>
      <w:r>
        <w:rPr>
          <w:rFonts w:hint="eastAsia" w:ascii="宋体" w:hAnsi="宋体" w:eastAsia="宋体" w:cs="宋体"/>
          <w:color w:val="000000"/>
          <w:sz w:val="24"/>
          <w:szCs w:val="24"/>
        </w:rPr>
        <w:t>③</w:t>
      </w:r>
      <w:r>
        <w:rPr>
          <w:rFonts w:ascii="宋体" w:hAnsi="宋体" w:eastAsia="宋体" w:cs="宋体"/>
          <w:color w:val="000000"/>
          <w:sz w:val="24"/>
          <w:szCs w:val="24"/>
        </w:rPr>
        <w:t>彩色二寸照片1张(底色限蓝色和白色，提供证件照电子版，jpg格式，小于 20k， 用身份证号命名和姓名+身份证号码命名各一张，最后一位如果是X请大写必须半角状态)。</w:t>
      </w:r>
    </w:p>
    <w:p w14:paraId="1D5D9F6E">
      <w:pPr>
        <w:autoSpaceDE w:val="0"/>
        <w:autoSpaceDN w:val="0"/>
        <w:spacing w:before="40" w:line="640" w:lineRule="atLeast"/>
        <w:ind w:left="40"/>
        <w:rPr>
          <w:sz w:val="24"/>
          <w:szCs w:val="24"/>
        </w:rPr>
      </w:pPr>
      <w:r>
        <w:rPr>
          <w:rFonts w:hint="eastAsia" w:asciiTheme="minorEastAsia" w:hAnsiTheme="minorEastAsia"/>
          <w:sz w:val="24"/>
          <w:szCs w:val="24"/>
        </w:rPr>
        <w:t>④</w:t>
      </w:r>
      <w:r>
        <w:rPr>
          <w:sz w:val="24"/>
          <w:szCs w:val="24"/>
        </w:rPr>
        <w:t>《个人申报职业技能等级认定工作经历承诺书》一份，需本人签字并加盖单位公章；</w:t>
      </w:r>
    </w:p>
    <w:p w14:paraId="2C31A5F2">
      <w:pPr>
        <w:autoSpaceDE w:val="0"/>
        <w:autoSpaceDN w:val="0"/>
        <w:spacing w:before="40" w:line="640" w:lineRule="atLeast"/>
        <w:ind w:left="40"/>
        <w:rPr>
          <w:rFonts w:asciiTheme="minorEastAsia" w:hAnsiTheme="minorEastAsia"/>
          <w:sz w:val="24"/>
          <w:szCs w:val="24"/>
        </w:rPr>
      </w:pPr>
      <w:r>
        <w:rPr>
          <w:rFonts w:hint="eastAsia" w:asciiTheme="minorEastAsia" w:hAnsiTheme="minorEastAsia"/>
          <w:sz w:val="24"/>
          <w:szCs w:val="24"/>
        </w:rPr>
        <w:t>⑤有原级别证书的提供复印件1份；</w:t>
      </w:r>
    </w:p>
    <w:p w14:paraId="40BF24E0">
      <w:pPr>
        <w:autoSpaceDE w:val="0"/>
        <w:autoSpaceDN w:val="0"/>
        <w:spacing w:before="40" w:line="640" w:lineRule="atLeast"/>
        <w:ind w:left="40"/>
        <w:rPr>
          <w:sz w:val="24"/>
          <w:szCs w:val="24"/>
        </w:rPr>
      </w:pPr>
      <w:r>
        <w:rPr>
          <w:rFonts w:hint="eastAsia" w:asciiTheme="minorEastAsia" w:hAnsiTheme="minorEastAsia"/>
          <w:sz w:val="24"/>
          <w:szCs w:val="24"/>
        </w:rPr>
        <w:t>⑥中专及以上文凭需要提供毕业证复印件1份。</w:t>
      </w:r>
    </w:p>
    <w:p w14:paraId="1012BD80">
      <w:pPr>
        <w:autoSpaceDE w:val="0"/>
        <w:autoSpaceDN w:val="0"/>
        <w:spacing w:before="340" w:line="380" w:lineRule="atLeast"/>
        <w:ind w:left="60"/>
        <w:rPr>
          <w:sz w:val="24"/>
          <w:szCs w:val="24"/>
        </w:rPr>
      </w:pPr>
      <w:r>
        <w:rPr>
          <w:rFonts w:ascii="宋体" w:hAnsi="宋体" w:eastAsia="宋体" w:cs="宋体"/>
          <w:color w:val="000000"/>
          <w:sz w:val="24"/>
          <w:szCs w:val="24"/>
        </w:rPr>
        <w:t>三、条件审核</w:t>
      </w:r>
    </w:p>
    <w:p w14:paraId="141194FD">
      <w:pPr>
        <w:autoSpaceDE w:val="0"/>
        <w:autoSpaceDN w:val="0"/>
        <w:spacing w:before="20" w:line="580" w:lineRule="atLeast"/>
        <w:ind w:left="60"/>
        <w:rPr>
          <w:sz w:val="24"/>
          <w:szCs w:val="24"/>
        </w:rPr>
      </w:pPr>
      <w:r>
        <w:rPr>
          <w:rFonts w:ascii="宋体" w:hAnsi="宋体" w:eastAsia="宋体" w:cs="宋体"/>
          <w:color w:val="000000"/>
          <w:sz w:val="24"/>
          <w:szCs w:val="24"/>
        </w:rPr>
        <w:t>1、根据考生申报材料结合该职业(工种) 国家职业技能标准所列明的申报条件进行报名资格审核。</w:t>
      </w:r>
    </w:p>
    <w:p w14:paraId="383E8667">
      <w:pPr>
        <w:autoSpaceDE w:val="0"/>
        <w:autoSpaceDN w:val="0"/>
        <w:spacing w:before="20" w:line="580" w:lineRule="atLeast"/>
        <w:ind w:left="60"/>
        <w:rPr>
          <w:sz w:val="24"/>
          <w:szCs w:val="24"/>
        </w:rPr>
      </w:pPr>
      <w:r>
        <w:rPr>
          <w:rFonts w:ascii="宋体" w:hAnsi="宋体" w:eastAsia="宋体" w:cs="宋体"/>
          <w:color w:val="000000"/>
          <w:sz w:val="24"/>
          <w:szCs w:val="24"/>
        </w:rPr>
        <w:t>2、协会对照申报条件，对考生报考材料的完备性、准确性和真实性进行审查，发现信息前后矛盾、存疑的要进一步核实，不符合的一次性告知。包括工作年限、学历、专业、职业资格/职业技能等级等是否符合要求。</w:t>
      </w:r>
    </w:p>
    <w:p w14:paraId="34D486B1">
      <w:pPr>
        <w:autoSpaceDE w:val="0"/>
        <w:autoSpaceDN w:val="0"/>
        <w:spacing w:line="585" w:lineRule="atLeast"/>
        <w:ind w:left="60"/>
        <w:rPr>
          <w:sz w:val="24"/>
          <w:szCs w:val="24"/>
        </w:rPr>
      </w:pPr>
      <w:r>
        <w:rPr>
          <w:rFonts w:ascii="宋体" w:hAnsi="宋体" w:eastAsia="宋体" w:cs="宋体"/>
          <w:color w:val="000000"/>
          <w:sz w:val="24"/>
          <w:szCs w:val="24"/>
        </w:rPr>
        <w:t>3、根据学员信息，查询学员已取证情况，汇总填写《考生报名信息预审表》(表含：姓名、 身份证号、性别、文化程度、手机号、单位名称、是否缴纳社保、申报职业、 申报等级、从事本职业年限、现有证书、现有证书等级进行资料审核)并由审核人签字。</w:t>
      </w:r>
    </w:p>
    <w:p w14:paraId="0D9CAF3E">
      <w:pPr>
        <w:autoSpaceDE w:val="0"/>
        <w:autoSpaceDN w:val="0"/>
        <w:spacing w:line="590" w:lineRule="atLeast"/>
        <w:ind w:left="60"/>
        <w:rPr>
          <w:sz w:val="24"/>
          <w:szCs w:val="24"/>
        </w:rPr>
      </w:pPr>
      <w:r>
        <w:rPr>
          <w:rFonts w:ascii="宋体" w:hAnsi="宋体" w:eastAsia="宋体" w:cs="宋体"/>
          <w:color w:val="000000"/>
          <w:sz w:val="24"/>
          <w:szCs w:val="24"/>
        </w:rPr>
        <w:t>4、协会将审核的考生报名纸质材料(接收报名中考生所需材料)及相应的电子版材料进行审核、整理存档。</w:t>
      </w:r>
    </w:p>
    <w:p w14:paraId="7DA81948">
      <w:pPr>
        <w:autoSpaceDE w:val="0"/>
        <w:autoSpaceDN w:val="0"/>
        <w:spacing w:before="20" w:line="600" w:lineRule="atLeast"/>
        <w:ind w:left="60"/>
        <w:rPr>
          <w:sz w:val="24"/>
          <w:szCs w:val="24"/>
        </w:rPr>
      </w:pPr>
      <w:r>
        <w:rPr>
          <w:rFonts w:ascii="宋体" w:hAnsi="宋体" w:eastAsia="宋体" w:cs="宋体"/>
          <w:color w:val="000000"/>
          <w:sz w:val="24"/>
          <w:szCs w:val="24"/>
        </w:rPr>
        <w:t>5、报名负责人应向复审通过的考生发放《职业技能等级认定考试准备通知单》，提醒考生按照当期技能等级认定实施日期、时间等内容做好考前材料准备。</w:t>
      </w:r>
    </w:p>
    <w:p w14:paraId="4ADA3E7D">
      <w:pPr>
        <w:autoSpaceDE w:val="0"/>
        <w:autoSpaceDN w:val="0"/>
        <w:spacing w:before="320" w:line="300" w:lineRule="atLeast"/>
        <w:ind w:left="60"/>
        <w:rPr>
          <w:sz w:val="24"/>
          <w:szCs w:val="24"/>
        </w:rPr>
      </w:pPr>
      <w:r>
        <w:rPr>
          <w:rFonts w:ascii="宋体" w:hAnsi="宋体" w:eastAsia="宋体" w:cs="宋体"/>
          <w:color w:val="000000"/>
          <w:sz w:val="24"/>
          <w:szCs w:val="24"/>
        </w:rPr>
        <w:t>审核负责人：郑金锋</w:t>
      </w:r>
      <w:r>
        <w:rPr>
          <w:rFonts w:hint="eastAsia" w:ascii="宋体" w:hAnsi="宋体" w:eastAsia="宋体" w:cs="宋体"/>
          <w:color w:val="000000"/>
          <w:sz w:val="24"/>
          <w:szCs w:val="24"/>
        </w:rPr>
        <w:t xml:space="preserve"> 乔伟</w:t>
      </w:r>
    </w:p>
    <w:p w14:paraId="10206355">
      <w:pPr>
        <w:autoSpaceDE w:val="0"/>
        <w:autoSpaceDN w:val="0"/>
        <w:spacing w:before="340" w:line="300" w:lineRule="atLeast"/>
        <w:ind w:left="60"/>
        <w:rPr>
          <w:rFonts w:ascii="宋体" w:hAnsi="宋体" w:eastAsia="宋体" w:cs="宋体"/>
          <w:color w:val="000000"/>
          <w:sz w:val="24"/>
          <w:szCs w:val="24"/>
        </w:rPr>
      </w:pPr>
      <w:r>
        <w:rPr>
          <w:rFonts w:ascii="宋体" w:hAnsi="宋体" w:eastAsia="宋体" w:cs="宋体"/>
          <w:color w:val="000000"/>
          <w:sz w:val="24"/>
          <w:szCs w:val="24"/>
        </w:rPr>
        <w:t>办公室负责人兼档案管理负责人：乔伟</w:t>
      </w:r>
    </w:p>
    <w:p w14:paraId="58DF66F0">
      <w:pPr>
        <w:autoSpaceDE w:val="0"/>
        <w:autoSpaceDN w:val="0"/>
        <w:spacing w:before="340" w:line="300" w:lineRule="atLeast"/>
        <w:ind w:left="60"/>
        <w:rPr>
          <w:rFonts w:ascii="宋体" w:hAnsi="宋体" w:eastAsia="宋体" w:cs="宋体"/>
          <w:color w:val="000000"/>
          <w:sz w:val="24"/>
          <w:szCs w:val="24"/>
        </w:rPr>
      </w:pPr>
      <w:r>
        <w:rPr>
          <w:rFonts w:ascii="宋体" w:hAnsi="宋体" w:eastAsia="宋体" w:cs="宋体"/>
          <w:color w:val="000000"/>
          <w:sz w:val="24"/>
          <w:szCs w:val="24"/>
        </w:rPr>
        <w:t>报名负责人：郑金锋</w:t>
      </w:r>
    </w:p>
    <w:p w14:paraId="203ED2AA">
      <w:pPr>
        <w:autoSpaceDE w:val="0"/>
        <w:autoSpaceDN w:val="0"/>
        <w:spacing w:before="340" w:line="300" w:lineRule="atLeast"/>
        <w:ind w:left="60"/>
        <w:rPr>
          <w:rFonts w:ascii="宋体" w:hAnsi="宋体" w:eastAsia="宋体" w:cs="宋体"/>
          <w:color w:val="000000"/>
          <w:sz w:val="24"/>
          <w:szCs w:val="24"/>
        </w:rPr>
      </w:pPr>
    </w:p>
    <w:p w14:paraId="60CD0CB3">
      <w:pPr>
        <w:autoSpaceDE w:val="0"/>
        <w:autoSpaceDN w:val="0"/>
        <w:spacing w:before="260" w:line="320" w:lineRule="atLeast"/>
        <w:ind w:left="260"/>
        <w:rPr>
          <w:sz w:val="24"/>
          <w:szCs w:val="24"/>
        </w:rPr>
      </w:pPr>
      <w:r>
        <w:rPr>
          <w:rFonts w:ascii="宋体" w:hAnsi="宋体" w:eastAsia="宋体" w:cs="宋体"/>
          <w:sz w:val="24"/>
          <w:szCs w:val="24"/>
        </w:rPr>
        <w:t>四、收费标准</w:t>
      </w:r>
    </w:p>
    <w:p w14:paraId="374C835C">
      <w:pPr>
        <w:autoSpaceDE w:val="0"/>
        <w:autoSpaceDN w:val="0"/>
        <w:spacing w:before="60" w:line="580" w:lineRule="atLeast"/>
        <w:ind w:left="260" w:right="300"/>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1、收费标准。(参照《</w:t>
      </w:r>
      <w:r>
        <w:rPr>
          <w:rFonts w:hint="eastAsia" w:ascii="宋体" w:hAnsi="宋体" w:cs="宋体"/>
          <w:bCs/>
          <w:color w:val="000000" w:themeColor="text1"/>
          <w:kern w:val="0"/>
          <w:sz w:val="24"/>
          <w:szCs w:val="24"/>
          <w14:textFill>
            <w14:solidFill>
              <w14:schemeClr w14:val="tx1"/>
            </w14:solidFill>
          </w14:textFill>
        </w:rPr>
        <w:t>山东省职业技能等级认定考试收费标准</w:t>
      </w:r>
      <w:r>
        <w:rPr>
          <w:rFonts w:ascii="宋体" w:hAnsi="宋体" w:eastAsia="宋体" w:cs="宋体"/>
          <w:color w:val="000000" w:themeColor="text1"/>
          <w:sz w:val="24"/>
          <w:szCs w:val="24"/>
          <w14:textFill>
            <w14:solidFill>
              <w14:schemeClr w14:val="tx1"/>
            </w14:solidFill>
          </w14:textFill>
        </w:rPr>
        <w:t>》执行)</w:t>
      </w:r>
    </w:p>
    <w:p w14:paraId="6138AB2F">
      <w:pPr>
        <w:autoSpaceDE w:val="0"/>
        <w:autoSpaceDN w:val="0"/>
        <w:spacing w:before="60" w:line="580" w:lineRule="atLeast"/>
        <w:ind w:left="260" w:right="300"/>
        <w:rPr>
          <w:rFonts w:ascii="宋体" w:hAnsi="宋体" w:eastAsia="宋体" w:cs="宋体"/>
          <w:color w:val="000000" w:themeColor="text1"/>
          <w:sz w:val="28"/>
          <w:szCs w:val="28"/>
          <w14:textFill>
            <w14:solidFill>
              <w14:schemeClr w14:val="tx1"/>
            </w14:solidFill>
          </w14:textFill>
        </w:rPr>
      </w:pPr>
    </w:p>
    <w:tbl>
      <w:tblPr>
        <w:tblStyle w:val="5"/>
        <w:tblW w:w="9885" w:type="dxa"/>
        <w:tblInd w:w="93" w:type="dxa"/>
        <w:tblLayout w:type="autofit"/>
        <w:tblCellMar>
          <w:top w:w="0" w:type="dxa"/>
          <w:left w:w="108" w:type="dxa"/>
          <w:bottom w:w="0" w:type="dxa"/>
          <w:right w:w="108" w:type="dxa"/>
        </w:tblCellMar>
      </w:tblPr>
      <w:tblGrid>
        <w:gridCol w:w="1890"/>
        <w:gridCol w:w="655"/>
        <w:gridCol w:w="592"/>
        <w:gridCol w:w="1103"/>
        <w:gridCol w:w="648"/>
        <w:gridCol w:w="592"/>
        <w:gridCol w:w="592"/>
        <w:gridCol w:w="590"/>
        <w:gridCol w:w="576"/>
        <w:gridCol w:w="735"/>
        <w:gridCol w:w="607"/>
        <w:gridCol w:w="592"/>
        <w:gridCol w:w="713"/>
      </w:tblGrid>
      <w:tr w14:paraId="3C96B60B">
        <w:tblPrEx>
          <w:tblCellMar>
            <w:top w:w="0" w:type="dxa"/>
            <w:left w:w="108" w:type="dxa"/>
            <w:bottom w:w="0" w:type="dxa"/>
            <w:right w:w="108" w:type="dxa"/>
          </w:tblCellMar>
        </w:tblPrEx>
        <w:trPr>
          <w:trHeight w:val="435" w:hRule="atLeast"/>
        </w:trPr>
        <w:tc>
          <w:tcPr>
            <w:tcW w:w="9885" w:type="dxa"/>
            <w:gridSpan w:val="13"/>
            <w:tcBorders>
              <w:top w:val="nil"/>
              <w:left w:val="nil"/>
              <w:bottom w:val="nil"/>
              <w:right w:val="nil"/>
            </w:tcBorders>
            <w:noWrap/>
            <w:vAlign w:val="bottom"/>
          </w:tcPr>
          <w:p w14:paraId="4261D3BD">
            <w:pPr>
              <w:widowControl/>
              <w:jc w:val="center"/>
              <w:rPr>
                <w:rFonts w:ascii="宋体" w:hAnsi="宋体" w:cs="宋体"/>
                <w:b/>
                <w:bCs/>
                <w:color w:val="000000" w:themeColor="text1"/>
                <w:kern w:val="0"/>
                <w:sz w:val="32"/>
                <w:szCs w:val="32"/>
                <w14:textFill>
                  <w14:solidFill>
                    <w14:schemeClr w14:val="tx1"/>
                  </w14:solidFill>
                </w14:textFill>
              </w:rPr>
            </w:pPr>
            <w:r>
              <w:rPr>
                <w:rFonts w:hint="eastAsia" w:ascii="宋体" w:hAnsi="宋体" w:cs="宋体"/>
                <w:b/>
                <w:bCs/>
                <w:color w:val="000000" w:themeColor="text1"/>
                <w:kern w:val="0"/>
                <w:sz w:val="32"/>
                <w:szCs w:val="32"/>
                <w14:textFill>
                  <w14:solidFill>
                    <w14:schemeClr w14:val="tx1"/>
                  </w14:solidFill>
                </w14:textFill>
              </w:rPr>
              <w:t>山东省职业技能等级认定考试收费标准</w:t>
            </w:r>
          </w:p>
        </w:tc>
      </w:tr>
      <w:tr w14:paraId="7C18693C">
        <w:tblPrEx>
          <w:tblCellMar>
            <w:top w:w="0" w:type="dxa"/>
            <w:left w:w="108" w:type="dxa"/>
            <w:bottom w:w="0" w:type="dxa"/>
            <w:right w:w="108" w:type="dxa"/>
          </w:tblCellMar>
        </w:tblPrEx>
        <w:trPr>
          <w:trHeight w:val="360" w:hRule="atLeast"/>
        </w:trPr>
        <w:tc>
          <w:tcPr>
            <w:tcW w:w="9885" w:type="dxa"/>
            <w:gridSpan w:val="13"/>
            <w:tcBorders>
              <w:top w:val="nil"/>
              <w:left w:val="nil"/>
              <w:bottom w:val="nil"/>
              <w:right w:val="nil"/>
            </w:tcBorders>
            <w:noWrap/>
            <w:vAlign w:val="bottom"/>
          </w:tcPr>
          <w:p w14:paraId="2606639E">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计费单位：元/人次</w:t>
            </w:r>
          </w:p>
        </w:tc>
      </w:tr>
      <w:tr w14:paraId="2DD7C9C5">
        <w:tblPrEx>
          <w:tblCellMar>
            <w:top w:w="0" w:type="dxa"/>
            <w:left w:w="108" w:type="dxa"/>
            <w:bottom w:w="0" w:type="dxa"/>
            <w:right w:w="108" w:type="dxa"/>
          </w:tblCellMar>
        </w:tblPrEx>
        <w:trPr>
          <w:trHeight w:val="450" w:hRule="atLeast"/>
        </w:trPr>
        <w:tc>
          <w:tcPr>
            <w:tcW w:w="1890" w:type="dxa"/>
            <w:tcBorders>
              <w:top w:val="single" w:color="auto" w:sz="4" w:space="0"/>
              <w:left w:val="single" w:color="auto" w:sz="4" w:space="0"/>
              <w:bottom w:val="nil"/>
              <w:right w:val="single" w:color="auto" w:sz="4" w:space="0"/>
            </w:tcBorders>
            <w:noWrap/>
            <w:vAlign w:val="bottom"/>
          </w:tcPr>
          <w:p w14:paraId="688BF5C5">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项目</w:t>
            </w:r>
          </w:p>
        </w:tc>
        <w:tc>
          <w:tcPr>
            <w:tcW w:w="2350" w:type="dxa"/>
            <w:gridSpan w:val="3"/>
            <w:tcBorders>
              <w:top w:val="single" w:color="auto" w:sz="4" w:space="0"/>
              <w:left w:val="nil"/>
              <w:bottom w:val="single" w:color="auto" w:sz="4" w:space="0"/>
              <w:right w:val="single" w:color="auto" w:sz="4" w:space="0"/>
            </w:tcBorders>
            <w:noWrap/>
            <w:vAlign w:val="bottom"/>
          </w:tcPr>
          <w:p w14:paraId="78C017D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A类</w:t>
            </w:r>
          </w:p>
        </w:tc>
        <w:tc>
          <w:tcPr>
            <w:tcW w:w="1832" w:type="dxa"/>
            <w:gridSpan w:val="3"/>
            <w:tcBorders>
              <w:top w:val="single" w:color="auto" w:sz="4" w:space="0"/>
              <w:left w:val="nil"/>
              <w:bottom w:val="single" w:color="auto" w:sz="4" w:space="0"/>
              <w:right w:val="single" w:color="auto" w:sz="4" w:space="0"/>
            </w:tcBorders>
            <w:noWrap/>
            <w:vAlign w:val="bottom"/>
          </w:tcPr>
          <w:p w14:paraId="5AC9EAA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B类</w:t>
            </w:r>
          </w:p>
        </w:tc>
        <w:tc>
          <w:tcPr>
            <w:tcW w:w="1901" w:type="dxa"/>
            <w:gridSpan w:val="3"/>
            <w:tcBorders>
              <w:top w:val="single" w:color="auto" w:sz="4" w:space="0"/>
              <w:left w:val="nil"/>
              <w:bottom w:val="single" w:color="auto" w:sz="4" w:space="0"/>
              <w:right w:val="single" w:color="auto" w:sz="4" w:space="0"/>
            </w:tcBorders>
            <w:noWrap/>
            <w:vAlign w:val="bottom"/>
          </w:tcPr>
          <w:p w14:paraId="47F76B9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C类</w:t>
            </w:r>
          </w:p>
        </w:tc>
        <w:tc>
          <w:tcPr>
            <w:tcW w:w="1912" w:type="dxa"/>
            <w:gridSpan w:val="3"/>
            <w:tcBorders>
              <w:top w:val="single" w:color="auto" w:sz="4" w:space="0"/>
              <w:left w:val="nil"/>
              <w:bottom w:val="single" w:color="auto" w:sz="4" w:space="0"/>
              <w:right w:val="single" w:color="auto" w:sz="4" w:space="0"/>
            </w:tcBorders>
            <w:noWrap/>
            <w:vAlign w:val="bottom"/>
          </w:tcPr>
          <w:p w14:paraId="40736CA1">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D类</w:t>
            </w:r>
          </w:p>
        </w:tc>
      </w:tr>
      <w:tr w14:paraId="25634884">
        <w:tblPrEx>
          <w:tblCellMar>
            <w:top w:w="0" w:type="dxa"/>
            <w:left w:w="108" w:type="dxa"/>
            <w:bottom w:w="0" w:type="dxa"/>
            <w:right w:w="108" w:type="dxa"/>
          </w:tblCellMar>
        </w:tblPrEx>
        <w:trPr>
          <w:trHeight w:val="555" w:hRule="atLeast"/>
        </w:trPr>
        <w:tc>
          <w:tcPr>
            <w:tcW w:w="1890" w:type="dxa"/>
            <w:tcBorders>
              <w:top w:val="nil"/>
              <w:left w:val="single" w:color="auto" w:sz="4" w:space="0"/>
              <w:bottom w:val="nil"/>
              <w:right w:val="single" w:color="auto" w:sz="4" w:space="0"/>
            </w:tcBorders>
            <w:noWrap/>
            <w:vAlign w:val="bottom"/>
          </w:tcPr>
          <w:p w14:paraId="04348390">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标准</w:t>
            </w:r>
          </w:p>
        </w:tc>
        <w:tc>
          <w:tcPr>
            <w:tcW w:w="655" w:type="dxa"/>
            <w:vMerge w:val="restart"/>
            <w:tcBorders>
              <w:top w:val="nil"/>
              <w:left w:val="single" w:color="auto" w:sz="4" w:space="0"/>
              <w:bottom w:val="single" w:color="auto" w:sz="4" w:space="0"/>
              <w:right w:val="single" w:color="auto" w:sz="4" w:space="0"/>
            </w:tcBorders>
            <w:vAlign w:val="bottom"/>
          </w:tcPr>
          <w:p w14:paraId="6DD5333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w:t>
            </w:r>
          </w:p>
        </w:tc>
        <w:tc>
          <w:tcPr>
            <w:tcW w:w="592" w:type="dxa"/>
            <w:vMerge w:val="restart"/>
            <w:tcBorders>
              <w:top w:val="nil"/>
              <w:left w:val="single" w:color="auto" w:sz="4" w:space="0"/>
              <w:bottom w:val="single" w:color="auto" w:sz="4" w:space="0"/>
              <w:right w:val="single" w:color="auto" w:sz="4" w:space="0"/>
            </w:tcBorders>
            <w:vAlign w:val="bottom"/>
          </w:tcPr>
          <w:p w14:paraId="1544A4D1">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技能考核</w:t>
            </w:r>
          </w:p>
        </w:tc>
        <w:tc>
          <w:tcPr>
            <w:tcW w:w="1103" w:type="dxa"/>
            <w:vMerge w:val="restart"/>
            <w:tcBorders>
              <w:top w:val="nil"/>
              <w:left w:val="single" w:color="auto" w:sz="4" w:space="0"/>
              <w:bottom w:val="single" w:color="auto" w:sz="4" w:space="0"/>
              <w:right w:val="single" w:color="auto" w:sz="4" w:space="0"/>
            </w:tcBorders>
            <w:vAlign w:val="bottom"/>
          </w:tcPr>
          <w:p w14:paraId="4FA74FE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合计（加收10元）</w:t>
            </w:r>
          </w:p>
        </w:tc>
        <w:tc>
          <w:tcPr>
            <w:tcW w:w="648" w:type="dxa"/>
            <w:vMerge w:val="restart"/>
            <w:tcBorders>
              <w:top w:val="nil"/>
              <w:left w:val="single" w:color="auto" w:sz="4" w:space="0"/>
              <w:bottom w:val="single" w:color="auto" w:sz="4" w:space="0"/>
              <w:right w:val="single" w:color="auto" w:sz="4" w:space="0"/>
            </w:tcBorders>
            <w:vAlign w:val="bottom"/>
          </w:tcPr>
          <w:p w14:paraId="1A8B7AE8">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w:t>
            </w:r>
          </w:p>
        </w:tc>
        <w:tc>
          <w:tcPr>
            <w:tcW w:w="592" w:type="dxa"/>
            <w:vMerge w:val="restart"/>
            <w:tcBorders>
              <w:top w:val="nil"/>
              <w:left w:val="single" w:color="auto" w:sz="4" w:space="0"/>
              <w:bottom w:val="single" w:color="auto" w:sz="4" w:space="0"/>
              <w:right w:val="single" w:color="auto" w:sz="4" w:space="0"/>
            </w:tcBorders>
            <w:vAlign w:val="bottom"/>
          </w:tcPr>
          <w:p w14:paraId="2AE3CDB9">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技能考核</w:t>
            </w:r>
          </w:p>
        </w:tc>
        <w:tc>
          <w:tcPr>
            <w:tcW w:w="592" w:type="dxa"/>
            <w:vMerge w:val="restart"/>
            <w:tcBorders>
              <w:top w:val="nil"/>
              <w:left w:val="single" w:color="auto" w:sz="4" w:space="0"/>
              <w:bottom w:val="single" w:color="auto" w:sz="4" w:space="0"/>
              <w:right w:val="single" w:color="auto" w:sz="4" w:space="0"/>
            </w:tcBorders>
            <w:vAlign w:val="bottom"/>
          </w:tcPr>
          <w:p w14:paraId="2FBCD6E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合计</w:t>
            </w:r>
          </w:p>
        </w:tc>
        <w:tc>
          <w:tcPr>
            <w:tcW w:w="590" w:type="dxa"/>
            <w:vMerge w:val="restart"/>
            <w:tcBorders>
              <w:top w:val="nil"/>
              <w:left w:val="single" w:color="auto" w:sz="4" w:space="0"/>
              <w:bottom w:val="single" w:color="auto" w:sz="4" w:space="0"/>
              <w:right w:val="single" w:color="auto" w:sz="4" w:space="0"/>
            </w:tcBorders>
            <w:vAlign w:val="bottom"/>
          </w:tcPr>
          <w:p w14:paraId="03325F8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w:t>
            </w:r>
          </w:p>
        </w:tc>
        <w:tc>
          <w:tcPr>
            <w:tcW w:w="576" w:type="dxa"/>
            <w:vMerge w:val="restart"/>
            <w:tcBorders>
              <w:top w:val="nil"/>
              <w:left w:val="single" w:color="auto" w:sz="4" w:space="0"/>
              <w:bottom w:val="single" w:color="auto" w:sz="4" w:space="0"/>
              <w:right w:val="single" w:color="auto" w:sz="4" w:space="0"/>
            </w:tcBorders>
            <w:vAlign w:val="bottom"/>
          </w:tcPr>
          <w:p w14:paraId="761B01F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技能考核</w:t>
            </w:r>
          </w:p>
        </w:tc>
        <w:tc>
          <w:tcPr>
            <w:tcW w:w="735" w:type="dxa"/>
            <w:vMerge w:val="restart"/>
            <w:tcBorders>
              <w:top w:val="nil"/>
              <w:left w:val="single" w:color="auto" w:sz="4" w:space="0"/>
              <w:bottom w:val="single" w:color="auto" w:sz="4" w:space="0"/>
              <w:right w:val="single" w:color="auto" w:sz="4" w:space="0"/>
            </w:tcBorders>
            <w:vAlign w:val="bottom"/>
          </w:tcPr>
          <w:p w14:paraId="5B6B8D9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合计</w:t>
            </w:r>
          </w:p>
        </w:tc>
        <w:tc>
          <w:tcPr>
            <w:tcW w:w="607" w:type="dxa"/>
            <w:vMerge w:val="restart"/>
            <w:tcBorders>
              <w:top w:val="nil"/>
              <w:left w:val="single" w:color="auto" w:sz="4" w:space="0"/>
              <w:bottom w:val="single" w:color="auto" w:sz="4" w:space="0"/>
              <w:right w:val="single" w:color="auto" w:sz="4" w:space="0"/>
            </w:tcBorders>
            <w:vAlign w:val="bottom"/>
          </w:tcPr>
          <w:p w14:paraId="47B6451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w:t>
            </w:r>
          </w:p>
        </w:tc>
        <w:tc>
          <w:tcPr>
            <w:tcW w:w="592" w:type="dxa"/>
            <w:vMerge w:val="restart"/>
            <w:tcBorders>
              <w:top w:val="nil"/>
              <w:left w:val="single" w:color="auto" w:sz="4" w:space="0"/>
              <w:bottom w:val="single" w:color="auto" w:sz="4" w:space="0"/>
              <w:right w:val="single" w:color="auto" w:sz="4" w:space="0"/>
            </w:tcBorders>
            <w:vAlign w:val="bottom"/>
          </w:tcPr>
          <w:p w14:paraId="6BF84D6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技能考核</w:t>
            </w:r>
          </w:p>
        </w:tc>
        <w:tc>
          <w:tcPr>
            <w:tcW w:w="713" w:type="dxa"/>
            <w:vMerge w:val="restart"/>
            <w:tcBorders>
              <w:top w:val="nil"/>
              <w:left w:val="single" w:color="auto" w:sz="4" w:space="0"/>
              <w:bottom w:val="single" w:color="auto" w:sz="4" w:space="0"/>
              <w:right w:val="single" w:color="auto" w:sz="4" w:space="0"/>
            </w:tcBorders>
            <w:vAlign w:val="bottom"/>
          </w:tcPr>
          <w:p w14:paraId="618C204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合计</w:t>
            </w:r>
          </w:p>
        </w:tc>
      </w:tr>
      <w:tr w14:paraId="262D0146">
        <w:tblPrEx>
          <w:tblCellMar>
            <w:top w:w="0" w:type="dxa"/>
            <w:left w:w="108" w:type="dxa"/>
            <w:bottom w:w="0" w:type="dxa"/>
            <w:right w:w="108" w:type="dxa"/>
          </w:tblCellMar>
        </w:tblPrEx>
        <w:trPr>
          <w:trHeight w:val="615" w:hRule="atLeast"/>
        </w:trPr>
        <w:tc>
          <w:tcPr>
            <w:tcW w:w="1890" w:type="dxa"/>
            <w:tcBorders>
              <w:top w:val="nil"/>
              <w:left w:val="single" w:color="auto" w:sz="4" w:space="0"/>
              <w:bottom w:val="single" w:color="auto" w:sz="4" w:space="0"/>
              <w:right w:val="nil"/>
            </w:tcBorders>
            <w:noWrap/>
            <w:vAlign w:val="bottom"/>
          </w:tcPr>
          <w:p w14:paraId="47C435FD">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等级</w:t>
            </w:r>
          </w:p>
        </w:tc>
        <w:tc>
          <w:tcPr>
            <w:tcW w:w="655" w:type="dxa"/>
            <w:vMerge w:val="continue"/>
            <w:tcBorders>
              <w:top w:val="nil"/>
              <w:left w:val="single" w:color="auto" w:sz="4" w:space="0"/>
              <w:bottom w:val="single" w:color="auto" w:sz="4" w:space="0"/>
              <w:right w:val="single" w:color="auto" w:sz="4" w:space="0"/>
            </w:tcBorders>
            <w:vAlign w:val="center"/>
          </w:tcPr>
          <w:p w14:paraId="5E90C879">
            <w:pPr>
              <w:widowControl/>
              <w:jc w:val="left"/>
              <w:rPr>
                <w:rFonts w:ascii="宋体" w:hAnsi="宋体" w:cs="宋体"/>
                <w:color w:val="000000" w:themeColor="text1"/>
                <w:kern w:val="0"/>
                <w14:textFill>
                  <w14:solidFill>
                    <w14:schemeClr w14:val="tx1"/>
                  </w14:solidFill>
                </w14:textFill>
              </w:rPr>
            </w:pPr>
          </w:p>
        </w:tc>
        <w:tc>
          <w:tcPr>
            <w:tcW w:w="592" w:type="dxa"/>
            <w:vMerge w:val="continue"/>
            <w:tcBorders>
              <w:top w:val="nil"/>
              <w:left w:val="single" w:color="auto" w:sz="4" w:space="0"/>
              <w:bottom w:val="single" w:color="auto" w:sz="4" w:space="0"/>
              <w:right w:val="single" w:color="auto" w:sz="4" w:space="0"/>
            </w:tcBorders>
            <w:vAlign w:val="center"/>
          </w:tcPr>
          <w:p w14:paraId="62E430F2">
            <w:pPr>
              <w:widowControl/>
              <w:jc w:val="left"/>
              <w:rPr>
                <w:rFonts w:ascii="宋体" w:hAnsi="宋体" w:cs="宋体"/>
                <w:color w:val="000000" w:themeColor="text1"/>
                <w:kern w:val="0"/>
                <w14:textFill>
                  <w14:solidFill>
                    <w14:schemeClr w14:val="tx1"/>
                  </w14:solidFill>
                </w14:textFill>
              </w:rPr>
            </w:pPr>
          </w:p>
        </w:tc>
        <w:tc>
          <w:tcPr>
            <w:tcW w:w="1103" w:type="dxa"/>
            <w:vMerge w:val="continue"/>
            <w:tcBorders>
              <w:top w:val="nil"/>
              <w:left w:val="single" w:color="auto" w:sz="4" w:space="0"/>
              <w:bottom w:val="single" w:color="auto" w:sz="4" w:space="0"/>
              <w:right w:val="single" w:color="auto" w:sz="4" w:space="0"/>
            </w:tcBorders>
            <w:vAlign w:val="center"/>
          </w:tcPr>
          <w:p w14:paraId="0CE44393">
            <w:pPr>
              <w:widowControl/>
              <w:jc w:val="left"/>
              <w:rPr>
                <w:rFonts w:ascii="宋体" w:hAnsi="宋体" w:cs="宋体"/>
                <w:color w:val="000000" w:themeColor="text1"/>
                <w:kern w:val="0"/>
                <w14:textFill>
                  <w14:solidFill>
                    <w14:schemeClr w14:val="tx1"/>
                  </w14:solidFill>
                </w14:textFill>
              </w:rPr>
            </w:pPr>
          </w:p>
        </w:tc>
        <w:tc>
          <w:tcPr>
            <w:tcW w:w="648" w:type="dxa"/>
            <w:vMerge w:val="continue"/>
            <w:tcBorders>
              <w:top w:val="nil"/>
              <w:left w:val="single" w:color="auto" w:sz="4" w:space="0"/>
              <w:bottom w:val="single" w:color="auto" w:sz="4" w:space="0"/>
              <w:right w:val="single" w:color="auto" w:sz="4" w:space="0"/>
            </w:tcBorders>
            <w:vAlign w:val="center"/>
          </w:tcPr>
          <w:p w14:paraId="0582A5F0">
            <w:pPr>
              <w:widowControl/>
              <w:jc w:val="left"/>
              <w:rPr>
                <w:rFonts w:ascii="宋体" w:hAnsi="宋体" w:cs="宋体"/>
                <w:color w:val="000000" w:themeColor="text1"/>
                <w:kern w:val="0"/>
                <w14:textFill>
                  <w14:solidFill>
                    <w14:schemeClr w14:val="tx1"/>
                  </w14:solidFill>
                </w14:textFill>
              </w:rPr>
            </w:pPr>
          </w:p>
        </w:tc>
        <w:tc>
          <w:tcPr>
            <w:tcW w:w="592" w:type="dxa"/>
            <w:vMerge w:val="continue"/>
            <w:tcBorders>
              <w:top w:val="nil"/>
              <w:left w:val="single" w:color="auto" w:sz="4" w:space="0"/>
              <w:bottom w:val="single" w:color="auto" w:sz="4" w:space="0"/>
              <w:right w:val="single" w:color="auto" w:sz="4" w:space="0"/>
            </w:tcBorders>
            <w:vAlign w:val="center"/>
          </w:tcPr>
          <w:p w14:paraId="05C428D9">
            <w:pPr>
              <w:widowControl/>
              <w:jc w:val="left"/>
              <w:rPr>
                <w:rFonts w:ascii="宋体" w:hAnsi="宋体" w:cs="宋体"/>
                <w:color w:val="000000" w:themeColor="text1"/>
                <w:kern w:val="0"/>
                <w14:textFill>
                  <w14:solidFill>
                    <w14:schemeClr w14:val="tx1"/>
                  </w14:solidFill>
                </w14:textFill>
              </w:rPr>
            </w:pPr>
          </w:p>
        </w:tc>
        <w:tc>
          <w:tcPr>
            <w:tcW w:w="592" w:type="dxa"/>
            <w:vMerge w:val="continue"/>
            <w:tcBorders>
              <w:top w:val="nil"/>
              <w:left w:val="single" w:color="auto" w:sz="4" w:space="0"/>
              <w:bottom w:val="single" w:color="auto" w:sz="4" w:space="0"/>
              <w:right w:val="single" w:color="auto" w:sz="4" w:space="0"/>
            </w:tcBorders>
            <w:vAlign w:val="center"/>
          </w:tcPr>
          <w:p w14:paraId="0D653FB7">
            <w:pPr>
              <w:widowControl/>
              <w:jc w:val="left"/>
              <w:rPr>
                <w:rFonts w:ascii="宋体" w:hAnsi="宋体" w:cs="宋体"/>
                <w:color w:val="000000" w:themeColor="text1"/>
                <w:kern w:val="0"/>
                <w14:textFill>
                  <w14:solidFill>
                    <w14:schemeClr w14:val="tx1"/>
                  </w14:solidFill>
                </w14:textFill>
              </w:rPr>
            </w:pPr>
          </w:p>
        </w:tc>
        <w:tc>
          <w:tcPr>
            <w:tcW w:w="590" w:type="dxa"/>
            <w:vMerge w:val="continue"/>
            <w:tcBorders>
              <w:top w:val="nil"/>
              <w:left w:val="single" w:color="auto" w:sz="4" w:space="0"/>
              <w:bottom w:val="single" w:color="auto" w:sz="4" w:space="0"/>
              <w:right w:val="single" w:color="auto" w:sz="4" w:space="0"/>
            </w:tcBorders>
            <w:vAlign w:val="center"/>
          </w:tcPr>
          <w:p w14:paraId="402C2B57">
            <w:pPr>
              <w:widowControl/>
              <w:jc w:val="left"/>
              <w:rPr>
                <w:rFonts w:ascii="宋体" w:hAnsi="宋体" w:cs="宋体"/>
                <w:color w:val="000000" w:themeColor="text1"/>
                <w:kern w:val="0"/>
                <w14:textFill>
                  <w14:solidFill>
                    <w14:schemeClr w14:val="tx1"/>
                  </w14:solidFill>
                </w14:textFill>
              </w:rPr>
            </w:pPr>
          </w:p>
        </w:tc>
        <w:tc>
          <w:tcPr>
            <w:tcW w:w="576" w:type="dxa"/>
            <w:vMerge w:val="continue"/>
            <w:tcBorders>
              <w:top w:val="nil"/>
              <w:left w:val="single" w:color="auto" w:sz="4" w:space="0"/>
              <w:bottom w:val="single" w:color="auto" w:sz="4" w:space="0"/>
              <w:right w:val="single" w:color="auto" w:sz="4" w:space="0"/>
            </w:tcBorders>
            <w:vAlign w:val="center"/>
          </w:tcPr>
          <w:p w14:paraId="46310C72">
            <w:pPr>
              <w:widowControl/>
              <w:jc w:val="left"/>
              <w:rPr>
                <w:rFonts w:ascii="宋体" w:hAnsi="宋体" w:cs="宋体"/>
                <w:color w:val="000000" w:themeColor="text1"/>
                <w:kern w:val="0"/>
                <w14:textFill>
                  <w14:solidFill>
                    <w14:schemeClr w14:val="tx1"/>
                  </w14:solidFill>
                </w14:textFill>
              </w:rPr>
            </w:pPr>
          </w:p>
        </w:tc>
        <w:tc>
          <w:tcPr>
            <w:tcW w:w="735" w:type="dxa"/>
            <w:vMerge w:val="continue"/>
            <w:tcBorders>
              <w:top w:val="nil"/>
              <w:left w:val="single" w:color="auto" w:sz="4" w:space="0"/>
              <w:bottom w:val="single" w:color="auto" w:sz="4" w:space="0"/>
              <w:right w:val="single" w:color="auto" w:sz="4" w:space="0"/>
            </w:tcBorders>
            <w:vAlign w:val="center"/>
          </w:tcPr>
          <w:p w14:paraId="097B4ECA">
            <w:pPr>
              <w:widowControl/>
              <w:jc w:val="left"/>
              <w:rPr>
                <w:rFonts w:ascii="宋体" w:hAnsi="宋体" w:cs="宋体"/>
                <w:color w:val="000000" w:themeColor="text1"/>
                <w:kern w:val="0"/>
                <w14:textFill>
                  <w14:solidFill>
                    <w14:schemeClr w14:val="tx1"/>
                  </w14:solidFill>
                </w14:textFill>
              </w:rPr>
            </w:pPr>
          </w:p>
        </w:tc>
        <w:tc>
          <w:tcPr>
            <w:tcW w:w="607" w:type="dxa"/>
            <w:vMerge w:val="continue"/>
            <w:tcBorders>
              <w:top w:val="nil"/>
              <w:left w:val="single" w:color="auto" w:sz="4" w:space="0"/>
              <w:bottom w:val="single" w:color="auto" w:sz="4" w:space="0"/>
              <w:right w:val="single" w:color="auto" w:sz="4" w:space="0"/>
            </w:tcBorders>
            <w:vAlign w:val="center"/>
          </w:tcPr>
          <w:p w14:paraId="5C9B0B81">
            <w:pPr>
              <w:widowControl/>
              <w:jc w:val="left"/>
              <w:rPr>
                <w:rFonts w:ascii="宋体" w:hAnsi="宋体" w:cs="宋体"/>
                <w:color w:val="000000" w:themeColor="text1"/>
                <w:kern w:val="0"/>
                <w14:textFill>
                  <w14:solidFill>
                    <w14:schemeClr w14:val="tx1"/>
                  </w14:solidFill>
                </w14:textFill>
              </w:rPr>
            </w:pPr>
          </w:p>
        </w:tc>
        <w:tc>
          <w:tcPr>
            <w:tcW w:w="592" w:type="dxa"/>
            <w:vMerge w:val="continue"/>
            <w:tcBorders>
              <w:top w:val="nil"/>
              <w:left w:val="single" w:color="auto" w:sz="4" w:space="0"/>
              <w:bottom w:val="single" w:color="auto" w:sz="4" w:space="0"/>
              <w:right w:val="single" w:color="auto" w:sz="4" w:space="0"/>
            </w:tcBorders>
            <w:vAlign w:val="center"/>
          </w:tcPr>
          <w:p w14:paraId="42CB2DD2">
            <w:pPr>
              <w:widowControl/>
              <w:jc w:val="left"/>
              <w:rPr>
                <w:rFonts w:ascii="宋体" w:hAnsi="宋体" w:cs="宋体"/>
                <w:color w:val="000000" w:themeColor="text1"/>
                <w:kern w:val="0"/>
                <w14:textFill>
                  <w14:solidFill>
                    <w14:schemeClr w14:val="tx1"/>
                  </w14:solidFill>
                </w14:textFill>
              </w:rPr>
            </w:pPr>
          </w:p>
        </w:tc>
        <w:tc>
          <w:tcPr>
            <w:tcW w:w="713" w:type="dxa"/>
            <w:vMerge w:val="continue"/>
            <w:tcBorders>
              <w:top w:val="nil"/>
              <w:left w:val="single" w:color="auto" w:sz="4" w:space="0"/>
              <w:bottom w:val="single" w:color="auto" w:sz="4" w:space="0"/>
              <w:right w:val="single" w:color="auto" w:sz="4" w:space="0"/>
            </w:tcBorders>
            <w:vAlign w:val="center"/>
          </w:tcPr>
          <w:p w14:paraId="0B323D5B">
            <w:pPr>
              <w:widowControl/>
              <w:jc w:val="left"/>
              <w:rPr>
                <w:rFonts w:ascii="宋体" w:hAnsi="宋体" w:cs="宋体"/>
                <w:color w:val="000000" w:themeColor="text1"/>
                <w:kern w:val="0"/>
                <w14:textFill>
                  <w14:solidFill>
                    <w14:schemeClr w14:val="tx1"/>
                  </w14:solidFill>
                </w14:textFill>
              </w:rPr>
            </w:pPr>
          </w:p>
        </w:tc>
      </w:tr>
      <w:tr w14:paraId="75DCE8D2">
        <w:tblPrEx>
          <w:tblCellMar>
            <w:top w:w="0" w:type="dxa"/>
            <w:left w:w="108" w:type="dxa"/>
            <w:bottom w:w="0" w:type="dxa"/>
            <w:right w:w="108" w:type="dxa"/>
          </w:tblCellMar>
        </w:tblPrEx>
        <w:trPr>
          <w:trHeight w:val="540" w:hRule="atLeast"/>
        </w:trPr>
        <w:tc>
          <w:tcPr>
            <w:tcW w:w="1890" w:type="dxa"/>
            <w:tcBorders>
              <w:top w:val="nil"/>
              <w:left w:val="single" w:color="auto" w:sz="4" w:space="0"/>
              <w:bottom w:val="single" w:color="auto" w:sz="4" w:space="0"/>
              <w:right w:val="single" w:color="auto" w:sz="4" w:space="0"/>
            </w:tcBorders>
            <w:noWrap/>
            <w:vAlign w:val="bottom"/>
          </w:tcPr>
          <w:p w14:paraId="02E7E374">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初级（5级）</w:t>
            </w:r>
          </w:p>
        </w:tc>
        <w:tc>
          <w:tcPr>
            <w:tcW w:w="655" w:type="dxa"/>
            <w:tcBorders>
              <w:top w:val="nil"/>
              <w:left w:val="nil"/>
              <w:bottom w:val="single" w:color="auto" w:sz="4" w:space="0"/>
              <w:right w:val="single" w:color="auto" w:sz="4" w:space="0"/>
            </w:tcBorders>
            <w:noWrap/>
            <w:vAlign w:val="bottom"/>
          </w:tcPr>
          <w:p w14:paraId="023D9B0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3ADD91D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160</w:t>
            </w:r>
          </w:p>
        </w:tc>
        <w:tc>
          <w:tcPr>
            <w:tcW w:w="1103" w:type="dxa"/>
            <w:tcBorders>
              <w:top w:val="nil"/>
              <w:left w:val="nil"/>
              <w:bottom w:val="single" w:color="auto" w:sz="4" w:space="0"/>
              <w:right w:val="single" w:color="auto" w:sz="4" w:space="0"/>
            </w:tcBorders>
            <w:noWrap/>
            <w:vAlign w:val="bottom"/>
          </w:tcPr>
          <w:p w14:paraId="13604E8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200</w:t>
            </w:r>
          </w:p>
        </w:tc>
        <w:tc>
          <w:tcPr>
            <w:tcW w:w="648" w:type="dxa"/>
            <w:tcBorders>
              <w:top w:val="nil"/>
              <w:left w:val="nil"/>
              <w:bottom w:val="single" w:color="auto" w:sz="4" w:space="0"/>
              <w:right w:val="single" w:color="auto" w:sz="4" w:space="0"/>
            </w:tcBorders>
            <w:noWrap/>
            <w:vAlign w:val="bottom"/>
          </w:tcPr>
          <w:p w14:paraId="3786FF3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24AEDCB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140</w:t>
            </w:r>
          </w:p>
        </w:tc>
        <w:tc>
          <w:tcPr>
            <w:tcW w:w="592" w:type="dxa"/>
            <w:tcBorders>
              <w:top w:val="nil"/>
              <w:left w:val="nil"/>
              <w:bottom w:val="single" w:color="auto" w:sz="4" w:space="0"/>
              <w:right w:val="single" w:color="auto" w:sz="4" w:space="0"/>
            </w:tcBorders>
            <w:noWrap/>
            <w:vAlign w:val="bottom"/>
          </w:tcPr>
          <w:p w14:paraId="78EE264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170</w:t>
            </w:r>
          </w:p>
        </w:tc>
        <w:tc>
          <w:tcPr>
            <w:tcW w:w="590" w:type="dxa"/>
            <w:tcBorders>
              <w:top w:val="nil"/>
              <w:left w:val="nil"/>
              <w:bottom w:val="single" w:color="auto" w:sz="4" w:space="0"/>
              <w:right w:val="single" w:color="auto" w:sz="4" w:space="0"/>
            </w:tcBorders>
            <w:noWrap/>
            <w:vAlign w:val="bottom"/>
          </w:tcPr>
          <w:p w14:paraId="4507586F">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76" w:type="dxa"/>
            <w:tcBorders>
              <w:top w:val="nil"/>
              <w:left w:val="nil"/>
              <w:bottom w:val="single" w:color="auto" w:sz="4" w:space="0"/>
              <w:right w:val="single" w:color="auto" w:sz="4" w:space="0"/>
            </w:tcBorders>
            <w:noWrap/>
            <w:vAlign w:val="bottom"/>
          </w:tcPr>
          <w:p w14:paraId="12F52E69">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120</w:t>
            </w:r>
          </w:p>
        </w:tc>
        <w:tc>
          <w:tcPr>
            <w:tcW w:w="735" w:type="dxa"/>
            <w:tcBorders>
              <w:top w:val="nil"/>
              <w:left w:val="nil"/>
              <w:bottom w:val="single" w:color="auto" w:sz="4" w:space="0"/>
              <w:right w:val="single" w:color="auto" w:sz="4" w:space="0"/>
            </w:tcBorders>
            <w:noWrap/>
            <w:vAlign w:val="bottom"/>
          </w:tcPr>
          <w:p w14:paraId="51F2598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150</w:t>
            </w:r>
          </w:p>
        </w:tc>
        <w:tc>
          <w:tcPr>
            <w:tcW w:w="607" w:type="dxa"/>
            <w:tcBorders>
              <w:top w:val="nil"/>
              <w:left w:val="nil"/>
              <w:bottom w:val="single" w:color="auto" w:sz="4" w:space="0"/>
              <w:right w:val="single" w:color="auto" w:sz="4" w:space="0"/>
            </w:tcBorders>
            <w:noWrap/>
            <w:vAlign w:val="bottom"/>
          </w:tcPr>
          <w:p w14:paraId="5131C39E">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7C8C228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160</w:t>
            </w:r>
          </w:p>
        </w:tc>
        <w:tc>
          <w:tcPr>
            <w:tcW w:w="713" w:type="dxa"/>
            <w:tcBorders>
              <w:top w:val="nil"/>
              <w:left w:val="nil"/>
              <w:bottom w:val="single" w:color="auto" w:sz="4" w:space="0"/>
              <w:right w:val="single" w:color="auto" w:sz="4" w:space="0"/>
            </w:tcBorders>
            <w:noWrap/>
            <w:vAlign w:val="bottom"/>
          </w:tcPr>
          <w:p w14:paraId="587EFE9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190</w:t>
            </w:r>
          </w:p>
        </w:tc>
      </w:tr>
      <w:tr w14:paraId="7A79E562">
        <w:tblPrEx>
          <w:tblCellMar>
            <w:top w:w="0" w:type="dxa"/>
            <w:left w:w="108" w:type="dxa"/>
            <w:bottom w:w="0" w:type="dxa"/>
            <w:right w:w="108" w:type="dxa"/>
          </w:tblCellMar>
        </w:tblPrEx>
        <w:trPr>
          <w:trHeight w:val="465" w:hRule="atLeast"/>
        </w:trPr>
        <w:tc>
          <w:tcPr>
            <w:tcW w:w="1890" w:type="dxa"/>
            <w:tcBorders>
              <w:top w:val="nil"/>
              <w:left w:val="single" w:color="auto" w:sz="4" w:space="0"/>
              <w:bottom w:val="single" w:color="auto" w:sz="4" w:space="0"/>
              <w:right w:val="single" w:color="auto" w:sz="4" w:space="0"/>
            </w:tcBorders>
            <w:noWrap/>
            <w:vAlign w:val="bottom"/>
          </w:tcPr>
          <w:p w14:paraId="5B33EB07">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中级（4级）</w:t>
            </w:r>
          </w:p>
        </w:tc>
        <w:tc>
          <w:tcPr>
            <w:tcW w:w="655" w:type="dxa"/>
            <w:tcBorders>
              <w:top w:val="nil"/>
              <w:left w:val="nil"/>
              <w:bottom w:val="single" w:color="auto" w:sz="4" w:space="0"/>
              <w:right w:val="single" w:color="auto" w:sz="4" w:space="0"/>
            </w:tcBorders>
            <w:noWrap/>
            <w:vAlign w:val="bottom"/>
          </w:tcPr>
          <w:p w14:paraId="3BADF8C2">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18E795C8">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190</w:t>
            </w:r>
          </w:p>
        </w:tc>
        <w:tc>
          <w:tcPr>
            <w:tcW w:w="1103" w:type="dxa"/>
            <w:tcBorders>
              <w:top w:val="nil"/>
              <w:left w:val="nil"/>
              <w:bottom w:val="single" w:color="auto" w:sz="4" w:space="0"/>
              <w:right w:val="single" w:color="auto" w:sz="4" w:space="0"/>
            </w:tcBorders>
            <w:noWrap/>
            <w:vAlign w:val="bottom"/>
          </w:tcPr>
          <w:p w14:paraId="1FD23FA5">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230</w:t>
            </w:r>
          </w:p>
        </w:tc>
        <w:tc>
          <w:tcPr>
            <w:tcW w:w="648" w:type="dxa"/>
            <w:tcBorders>
              <w:top w:val="nil"/>
              <w:left w:val="nil"/>
              <w:bottom w:val="single" w:color="auto" w:sz="4" w:space="0"/>
              <w:right w:val="single" w:color="auto" w:sz="4" w:space="0"/>
            </w:tcBorders>
            <w:noWrap/>
            <w:vAlign w:val="bottom"/>
          </w:tcPr>
          <w:p w14:paraId="740E69E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75B2A62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160</w:t>
            </w:r>
          </w:p>
        </w:tc>
        <w:tc>
          <w:tcPr>
            <w:tcW w:w="592" w:type="dxa"/>
            <w:tcBorders>
              <w:top w:val="nil"/>
              <w:left w:val="nil"/>
              <w:bottom w:val="single" w:color="auto" w:sz="4" w:space="0"/>
              <w:right w:val="single" w:color="auto" w:sz="4" w:space="0"/>
            </w:tcBorders>
            <w:noWrap/>
            <w:vAlign w:val="bottom"/>
          </w:tcPr>
          <w:p w14:paraId="1687FB05">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190</w:t>
            </w:r>
          </w:p>
        </w:tc>
        <w:tc>
          <w:tcPr>
            <w:tcW w:w="590" w:type="dxa"/>
            <w:tcBorders>
              <w:top w:val="nil"/>
              <w:left w:val="nil"/>
              <w:bottom w:val="single" w:color="auto" w:sz="4" w:space="0"/>
              <w:right w:val="single" w:color="auto" w:sz="4" w:space="0"/>
            </w:tcBorders>
            <w:noWrap/>
            <w:vAlign w:val="bottom"/>
          </w:tcPr>
          <w:p w14:paraId="31D1BFB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76" w:type="dxa"/>
            <w:tcBorders>
              <w:top w:val="nil"/>
              <w:left w:val="nil"/>
              <w:bottom w:val="single" w:color="auto" w:sz="4" w:space="0"/>
              <w:right w:val="single" w:color="auto" w:sz="4" w:space="0"/>
            </w:tcBorders>
            <w:noWrap/>
            <w:vAlign w:val="bottom"/>
          </w:tcPr>
          <w:p w14:paraId="7622AD59">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140</w:t>
            </w:r>
          </w:p>
        </w:tc>
        <w:tc>
          <w:tcPr>
            <w:tcW w:w="735" w:type="dxa"/>
            <w:tcBorders>
              <w:top w:val="nil"/>
              <w:left w:val="nil"/>
              <w:bottom w:val="single" w:color="auto" w:sz="4" w:space="0"/>
              <w:right w:val="single" w:color="auto" w:sz="4" w:space="0"/>
            </w:tcBorders>
            <w:noWrap/>
            <w:vAlign w:val="bottom"/>
          </w:tcPr>
          <w:p w14:paraId="793BAB1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170</w:t>
            </w:r>
          </w:p>
        </w:tc>
        <w:tc>
          <w:tcPr>
            <w:tcW w:w="607" w:type="dxa"/>
            <w:tcBorders>
              <w:top w:val="nil"/>
              <w:left w:val="nil"/>
              <w:bottom w:val="single" w:color="auto" w:sz="4" w:space="0"/>
              <w:right w:val="single" w:color="auto" w:sz="4" w:space="0"/>
            </w:tcBorders>
            <w:noWrap/>
            <w:vAlign w:val="bottom"/>
          </w:tcPr>
          <w:p w14:paraId="00440152">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0591045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300</w:t>
            </w:r>
          </w:p>
        </w:tc>
        <w:tc>
          <w:tcPr>
            <w:tcW w:w="713" w:type="dxa"/>
            <w:tcBorders>
              <w:top w:val="nil"/>
              <w:left w:val="nil"/>
              <w:bottom w:val="single" w:color="auto" w:sz="4" w:space="0"/>
              <w:right w:val="single" w:color="auto" w:sz="4" w:space="0"/>
            </w:tcBorders>
            <w:noWrap/>
            <w:vAlign w:val="bottom"/>
          </w:tcPr>
          <w:p w14:paraId="29C285A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330</w:t>
            </w:r>
          </w:p>
        </w:tc>
      </w:tr>
      <w:tr w14:paraId="2B44B0FD">
        <w:tblPrEx>
          <w:tblCellMar>
            <w:top w:w="0" w:type="dxa"/>
            <w:left w:w="108" w:type="dxa"/>
            <w:bottom w:w="0" w:type="dxa"/>
            <w:right w:w="108" w:type="dxa"/>
          </w:tblCellMar>
        </w:tblPrEx>
        <w:trPr>
          <w:trHeight w:val="450" w:hRule="atLeast"/>
        </w:trPr>
        <w:tc>
          <w:tcPr>
            <w:tcW w:w="1890" w:type="dxa"/>
            <w:tcBorders>
              <w:top w:val="nil"/>
              <w:left w:val="single" w:color="auto" w:sz="4" w:space="0"/>
              <w:bottom w:val="single" w:color="auto" w:sz="4" w:space="0"/>
              <w:right w:val="single" w:color="auto" w:sz="4" w:space="0"/>
            </w:tcBorders>
            <w:noWrap/>
            <w:vAlign w:val="bottom"/>
          </w:tcPr>
          <w:p w14:paraId="2597201F">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高级（3级）</w:t>
            </w:r>
          </w:p>
        </w:tc>
        <w:tc>
          <w:tcPr>
            <w:tcW w:w="655" w:type="dxa"/>
            <w:tcBorders>
              <w:top w:val="nil"/>
              <w:left w:val="nil"/>
              <w:bottom w:val="single" w:color="auto" w:sz="4" w:space="0"/>
              <w:right w:val="single" w:color="auto" w:sz="4" w:space="0"/>
            </w:tcBorders>
            <w:noWrap/>
            <w:vAlign w:val="bottom"/>
          </w:tcPr>
          <w:p w14:paraId="7EEEA2C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69CBFCA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240</w:t>
            </w:r>
          </w:p>
        </w:tc>
        <w:tc>
          <w:tcPr>
            <w:tcW w:w="1103" w:type="dxa"/>
            <w:tcBorders>
              <w:top w:val="nil"/>
              <w:left w:val="nil"/>
              <w:bottom w:val="single" w:color="auto" w:sz="4" w:space="0"/>
              <w:right w:val="single" w:color="auto" w:sz="4" w:space="0"/>
            </w:tcBorders>
            <w:noWrap/>
            <w:vAlign w:val="bottom"/>
          </w:tcPr>
          <w:p w14:paraId="69CD4A8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280</w:t>
            </w:r>
          </w:p>
        </w:tc>
        <w:tc>
          <w:tcPr>
            <w:tcW w:w="648" w:type="dxa"/>
            <w:tcBorders>
              <w:top w:val="nil"/>
              <w:left w:val="nil"/>
              <w:bottom w:val="single" w:color="auto" w:sz="4" w:space="0"/>
              <w:right w:val="single" w:color="auto" w:sz="4" w:space="0"/>
            </w:tcBorders>
            <w:noWrap/>
            <w:vAlign w:val="bottom"/>
          </w:tcPr>
          <w:p w14:paraId="1561DB4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00F16FB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220</w:t>
            </w:r>
          </w:p>
        </w:tc>
        <w:tc>
          <w:tcPr>
            <w:tcW w:w="592" w:type="dxa"/>
            <w:tcBorders>
              <w:top w:val="nil"/>
              <w:left w:val="nil"/>
              <w:bottom w:val="single" w:color="auto" w:sz="4" w:space="0"/>
              <w:right w:val="single" w:color="auto" w:sz="4" w:space="0"/>
            </w:tcBorders>
            <w:noWrap/>
            <w:vAlign w:val="bottom"/>
          </w:tcPr>
          <w:p w14:paraId="150C305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250</w:t>
            </w:r>
          </w:p>
        </w:tc>
        <w:tc>
          <w:tcPr>
            <w:tcW w:w="590" w:type="dxa"/>
            <w:tcBorders>
              <w:top w:val="nil"/>
              <w:left w:val="nil"/>
              <w:bottom w:val="single" w:color="auto" w:sz="4" w:space="0"/>
              <w:right w:val="single" w:color="auto" w:sz="4" w:space="0"/>
            </w:tcBorders>
            <w:noWrap/>
            <w:vAlign w:val="bottom"/>
          </w:tcPr>
          <w:p w14:paraId="129DAB0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76" w:type="dxa"/>
            <w:tcBorders>
              <w:top w:val="nil"/>
              <w:left w:val="nil"/>
              <w:bottom w:val="single" w:color="auto" w:sz="4" w:space="0"/>
              <w:right w:val="single" w:color="auto" w:sz="4" w:space="0"/>
            </w:tcBorders>
            <w:noWrap/>
            <w:vAlign w:val="bottom"/>
          </w:tcPr>
          <w:p w14:paraId="07216EF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200</w:t>
            </w:r>
          </w:p>
        </w:tc>
        <w:tc>
          <w:tcPr>
            <w:tcW w:w="735" w:type="dxa"/>
            <w:tcBorders>
              <w:top w:val="nil"/>
              <w:left w:val="nil"/>
              <w:bottom w:val="single" w:color="auto" w:sz="4" w:space="0"/>
              <w:right w:val="single" w:color="auto" w:sz="4" w:space="0"/>
            </w:tcBorders>
            <w:noWrap/>
            <w:vAlign w:val="bottom"/>
          </w:tcPr>
          <w:p w14:paraId="14ECB5E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230</w:t>
            </w:r>
          </w:p>
        </w:tc>
        <w:tc>
          <w:tcPr>
            <w:tcW w:w="607" w:type="dxa"/>
            <w:tcBorders>
              <w:top w:val="nil"/>
              <w:left w:val="nil"/>
              <w:bottom w:val="single" w:color="auto" w:sz="4" w:space="0"/>
              <w:right w:val="single" w:color="auto" w:sz="4" w:space="0"/>
            </w:tcBorders>
            <w:noWrap/>
            <w:vAlign w:val="bottom"/>
          </w:tcPr>
          <w:p w14:paraId="2FBAF0A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31581B1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400</w:t>
            </w:r>
          </w:p>
        </w:tc>
        <w:tc>
          <w:tcPr>
            <w:tcW w:w="713" w:type="dxa"/>
            <w:tcBorders>
              <w:top w:val="nil"/>
              <w:left w:val="nil"/>
              <w:bottom w:val="single" w:color="auto" w:sz="4" w:space="0"/>
              <w:right w:val="single" w:color="auto" w:sz="4" w:space="0"/>
            </w:tcBorders>
            <w:noWrap/>
            <w:vAlign w:val="bottom"/>
          </w:tcPr>
          <w:p w14:paraId="46936AB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430</w:t>
            </w:r>
          </w:p>
        </w:tc>
      </w:tr>
      <w:tr w14:paraId="1668CFB0">
        <w:tblPrEx>
          <w:tblCellMar>
            <w:top w:w="0" w:type="dxa"/>
            <w:left w:w="108" w:type="dxa"/>
            <w:bottom w:w="0" w:type="dxa"/>
            <w:right w:w="108" w:type="dxa"/>
          </w:tblCellMar>
        </w:tblPrEx>
        <w:trPr>
          <w:trHeight w:val="435" w:hRule="atLeast"/>
        </w:trPr>
        <w:tc>
          <w:tcPr>
            <w:tcW w:w="1890" w:type="dxa"/>
            <w:tcBorders>
              <w:top w:val="nil"/>
              <w:left w:val="single" w:color="auto" w:sz="4" w:space="0"/>
              <w:bottom w:val="single" w:color="auto" w:sz="4" w:space="0"/>
              <w:right w:val="single" w:color="auto" w:sz="4" w:space="0"/>
            </w:tcBorders>
            <w:noWrap/>
            <w:vAlign w:val="bottom"/>
          </w:tcPr>
          <w:p w14:paraId="407F515A">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技师（2级）</w:t>
            </w:r>
          </w:p>
        </w:tc>
        <w:tc>
          <w:tcPr>
            <w:tcW w:w="655" w:type="dxa"/>
            <w:tcBorders>
              <w:top w:val="nil"/>
              <w:left w:val="nil"/>
              <w:bottom w:val="single" w:color="auto" w:sz="4" w:space="0"/>
              <w:right w:val="single" w:color="auto" w:sz="4" w:space="0"/>
            </w:tcBorders>
            <w:noWrap/>
            <w:vAlign w:val="bottom"/>
          </w:tcPr>
          <w:p w14:paraId="6EF14AD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09F92C88">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420</w:t>
            </w:r>
          </w:p>
        </w:tc>
        <w:tc>
          <w:tcPr>
            <w:tcW w:w="1103" w:type="dxa"/>
            <w:tcBorders>
              <w:top w:val="nil"/>
              <w:left w:val="nil"/>
              <w:bottom w:val="single" w:color="auto" w:sz="4" w:space="0"/>
              <w:right w:val="single" w:color="auto" w:sz="4" w:space="0"/>
            </w:tcBorders>
            <w:noWrap/>
            <w:vAlign w:val="bottom"/>
          </w:tcPr>
          <w:p w14:paraId="11602A8D">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480</w:t>
            </w:r>
          </w:p>
        </w:tc>
        <w:tc>
          <w:tcPr>
            <w:tcW w:w="648" w:type="dxa"/>
            <w:tcBorders>
              <w:top w:val="nil"/>
              <w:left w:val="nil"/>
              <w:bottom w:val="single" w:color="auto" w:sz="4" w:space="0"/>
              <w:right w:val="single" w:color="auto" w:sz="4" w:space="0"/>
            </w:tcBorders>
            <w:noWrap/>
            <w:vAlign w:val="bottom"/>
          </w:tcPr>
          <w:p w14:paraId="192C9B51">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025B2735">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400</w:t>
            </w:r>
          </w:p>
        </w:tc>
        <w:tc>
          <w:tcPr>
            <w:tcW w:w="592" w:type="dxa"/>
            <w:tcBorders>
              <w:top w:val="nil"/>
              <w:left w:val="nil"/>
              <w:bottom w:val="single" w:color="auto" w:sz="4" w:space="0"/>
              <w:right w:val="single" w:color="auto" w:sz="4" w:space="0"/>
            </w:tcBorders>
            <w:noWrap/>
            <w:vAlign w:val="bottom"/>
          </w:tcPr>
          <w:p w14:paraId="0411CB6E">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450</w:t>
            </w:r>
          </w:p>
        </w:tc>
        <w:tc>
          <w:tcPr>
            <w:tcW w:w="590" w:type="dxa"/>
            <w:tcBorders>
              <w:top w:val="nil"/>
              <w:left w:val="nil"/>
              <w:bottom w:val="single" w:color="auto" w:sz="4" w:space="0"/>
              <w:right w:val="single" w:color="auto" w:sz="4" w:space="0"/>
            </w:tcBorders>
            <w:noWrap/>
            <w:vAlign w:val="bottom"/>
          </w:tcPr>
          <w:p w14:paraId="1A13C99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76" w:type="dxa"/>
            <w:tcBorders>
              <w:top w:val="nil"/>
              <w:left w:val="nil"/>
              <w:bottom w:val="single" w:color="auto" w:sz="4" w:space="0"/>
              <w:right w:val="single" w:color="auto" w:sz="4" w:space="0"/>
            </w:tcBorders>
            <w:noWrap/>
            <w:vAlign w:val="bottom"/>
          </w:tcPr>
          <w:p w14:paraId="5F0AABF8">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360</w:t>
            </w:r>
          </w:p>
        </w:tc>
        <w:tc>
          <w:tcPr>
            <w:tcW w:w="735" w:type="dxa"/>
            <w:tcBorders>
              <w:top w:val="nil"/>
              <w:left w:val="nil"/>
              <w:bottom w:val="single" w:color="auto" w:sz="4" w:space="0"/>
              <w:right w:val="single" w:color="auto" w:sz="4" w:space="0"/>
            </w:tcBorders>
            <w:noWrap/>
            <w:vAlign w:val="bottom"/>
          </w:tcPr>
          <w:p w14:paraId="2EA2323D">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410</w:t>
            </w:r>
          </w:p>
        </w:tc>
        <w:tc>
          <w:tcPr>
            <w:tcW w:w="607" w:type="dxa"/>
            <w:tcBorders>
              <w:top w:val="nil"/>
              <w:left w:val="nil"/>
              <w:bottom w:val="single" w:color="auto" w:sz="4" w:space="0"/>
              <w:right w:val="single" w:color="auto" w:sz="4" w:space="0"/>
            </w:tcBorders>
            <w:noWrap/>
            <w:vAlign w:val="bottom"/>
          </w:tcPr>
          <w:p w14:paraId="5A98193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37EC7592">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480</w:t>
            </w:r>
          </w:p>
        </w:tc>
        <w:tc>
          <w:tcPr>
            <w:tcW w:w="713" w:type="dxa"/>
            <w:tcBorders>
              <w:top w:val="nil"/>
              <w:left w:val="nil"/>
              <w:bottom w:val="single" w:color="auto" w:sz="4" w:space="0"/>
              <w:right w:val="single" w:color="auto" w:sz="4" w:space="0"/>
            </w:tcBorders>
            <w:noWrap/>
            <w:vAlign w:val="bottom"/>
          </w:tcPr>
          <w:p w14:paraId="657DE89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530</w:t>
            </w:r>
          </w:p>
        </w:tc>
      </w:tr>
      <w:tr w14:paraId="73038098">
        <w:tblPrEx>
          <w:tblCellMar>
            <w:top w:w="0" w:type="dxa"/>
            <w:left w:w="108" w:type="dxa"/>
            <w:bottom w:w="0" w:type="dxa"/>
            <w:right w:w="108" w:type="dxa"/>
          </w:tblCellMar>
        </w:tblPrEx>
        <w:trPr>
          <w:trHeight w:val="420" w:hRule="atLeast"/>
        </w:trPr>
        <w:tc>
          <w:tcPr>
            <w:tcW w:w="1890" w:type="dxa"/>
            <w:tcBorders>
              <w:top w:val="nil"/>
              <w:left w:val="single" w:color="auto" w:sz="4" w:space="0"/>
              <w:bottom w:val="single" w:color="auto" w:sz="4" w:space="0"/>
              <w:right w:val="single" w:color="auto" w:sz="4" w:space="0"/>
            </w:tcBorders>
            <w:noWrap/>
            <w:vAlign w:val="bottom"/>
          </w:tcPr>
          <w:p w14:paraId="5AB08AD1">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高级技师（1级）</w:t>
            </w:r>
          </w:p>
        </w:tc>
        <w:tc>
          <w:tcPr>
            <w:tcW w:w="655" w:type="dxa"/>
            <w:tcBorders>
              <w:top w:val="nil"/>
              <w:left w:val="nil"/>
              <w:bottom w:val="single" w:color="auto" w:sz="4" w:space="0"/>
              <w:right w:val="single" w:color="auto" w:sz="4" w:space="0"/>
            </w:tcBorders>
            <w:noWrap/>
            <w:vAlign w:val="bottom"/>
          </w:tcPr>
          <w:p w14:paraId="7C455581">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7CB1AAF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450</w:t>
            </w:r>
          </w:p>
        </w:tc>
        <w:tc>
          <w:tcPr>
            <w:tcW w:w="1103" w:type="dxa"/>
            <w:tcBorders>
              <w:top w:val="nil"/>
              <w:left w:val="nil"/>
              <w:bottom w:val="single" w:color="auto" w:sz="4" w:space="0"/>
              <w:right w:val="single" w:color="auto" w:sz="4" w:space="0"/>
            </w:tcBorders>
            <w:noWrap/>
            <w:vAlign w:val="bottom"/>
          </w:tcPr>
          <w:p w14:paraId="248B59C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510</w:t>
            </w:r>
          </w:p>
        </w:tc>
        <w:tc>
          <w:tcPr>
            <w:tcW w:w="648" w:type="dxa"/>
            <w:tcBorders>
              <w:top w:val="nil"/>
              <w:left w:val="nil"/>
              <w:bottom w:val="single" w:color="auto" w:sz="4" w:space="0"/>
              <w:right w:val="single" w:color="auto" w:sz="4" w:space="0"/>
            </w:tcBorders>
            <w:noWrap/>
            <w:vAlign w:val="bottom"/>
          </w:tcPr>
          <w:p w14:paraId="6F69DAB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631C4B4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430</w:t>
            </w:r>
          </w:p>
        </w:tc>
        <w:tc>
          <w:tcPr>
            <w:tcW w:w="592" w:type="dxa"/>
            <w:tcBorders>
              <w:top w:val="nil"/>
              <w:left w:val="nil"/>
              <w:bottom w:val="single" w:color="auto" w:sz="4" w:space="0"/>
              <w:right w:val="single" w:color="auto" w:sz="4" w:space="0"/>
            </w:tcBorders>
            <w:noWrap/>
            <w:vAlign w:val="bottom"/>
          </w:tcPr>
          <w:p w14:paraId="16759D29">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480</w:t>
            </w:r>
          </w:p>
        </w:tc>
        <w:tc>
          <w:tcPr>
            <w:tcW w:w="590" w:type="dxa"/>
            <w:tcBorders>
              <w:top w:val="nil"/>
              <w:left w:val="nil"/>
              <w:bottom w:val="single" w:color="auto" w:sz="4" w:space="0"/>
              <w:right w:val="single" w:color="auto" w:sz="4" w:space="0"/>
            </w:tcBorders>
            <w:noWrap/>
            <w:vAlign w:val="bottom"/>
          </w:tcPr>
          <w:p w14:paraId="2B716D7D">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76" w:type="dxa"/>
            <w:tcBorders>
              <w:top w:val="nil"/>
              <w:left w:val="nil"/>
              <w:bottom w:val="single" w:color="auto" w:sz="4" w:space="0"/>
              <w:right w:val="single" w:color="auto" w:sz="4" w:space="0"/>
            </w:tcBorders>
            <w:noWrap/>
            <w:vAlign w:val="bottom"/>
          </w:tcPr>
          <w:p w14:paraId="4CBB940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410</w:t>
            </w:r>
          </w:p>
        </w:tc>
        <w:tc>
          <w:tcPr>
            <w:tcW w:w="735" w:type="dxa"/>
            <w:tcBorders>
              <w:top w:val="nil"/>
              <w:left w:val="nil"/>
              <w:bottom w:val="single" w:color="auto" w:sz="4" w:space="0"/>
              <w:right w:val="single" w:color="auto" w:sz="4" w:space="0"/>
            </w:tcBorders>
            <w:noWrap/>
            <w:vAlign w:val="bottom"/>
          </w:tcPr>
          <w:p w14:paraId="6712EE2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460</w:t>
            </w:r>
          </w:p>
        </w:tc>
        <w:tc>
          <w:tcPr>
            <w:tcW w:w="607" w:type="dxa"/>
            <w:tcBorders>
              <w:top w:val="nil"/>
              <w:left w:val="nil"/>
              <w:bottom w:val="single" w:color="auto" w:sz="4" w:space="0"/>
              <w:right w:val="single" w:color="auto" w:sz="4" w:space="0"/>
            </w:tcBorders>
            <w:noWrap/>
            <w:vAlign w:val="bottom"/>
          </w:tcPr>
          <w:p w14:paraId="4ECE13C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75E6E9FD">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550</w:t>
            </w:r>
          </w:p>
        </w:tc>
        <w:tc>
          <w:tcPr>
            <w:tcW w:w="713" w:type="dxa"/>
            <w:tcBorders>
              <w:top w:val="nil"/>
              <w:left w:val="nil"/>
              <w:bottom w:val="single" w:color="auto" w:sz="4" w:space="0"/>
              <w:right w:val="single" w:color="auto" w:sz="4" w:space="0"/>
            </w:tcBorders>
            <w:noWrap/>
            <w:vAlign w:val="bottom"/>
          </w:tcPr>
          <w:p w14:paraId="038D1BF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600</w:t>
            </w:r>
          </w:p>
        </w:tc>
      </w:tr>
      <w:tr w14:paraId="21B23988">
        <w:tblPrEx>
          <w:tblCellMar>
            <w:top w:w="0" w:type="dxa"/>
            <w:left w:w="108" w:type="dxa"/>
            <w:bottom w:w="0" w:type="dxa"/>
            <w:right w:w="108" w:type="dxa"/>
          </w:tblCellMar>
        </w:tblPrEx>
        <w:trPr>
          <w:trHeight w:val="435" w:hRule="atLeast"/>
        </w:trPr>
        <w:tc>
          <w:tcPr>
            <w:tcW w:w="1890" w:type="dxa"/>
            <w:tcBorders>
              <w:top w:val="nil"/>
              <w:left w:val="single" w:color="auto" w:sz="4" w:space="0"/>
              <w:bottom w:val="single" w:color="auto" w:sz="4" w:space="0"/>
              <w:right w:val="single" w:color="auto" w:sz="4" w:space="0"/>
            </w:tcBorders>
            <w:noWrap/>
            <w:vAlign w:val="bottom"/>
          </w:tcPr>
          <w:p w14:paraId="2C385425">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备注</w:t>
            </w:r>
          </w:p>
        </w:tc>
        <w:tc>
          <w:tcPr>
            <w:tcW w:w="7995" w:type="dxa"/>
            <w:gridSpan w:val="12"/>
            <w:tcBorders>
              <w:top w:val="single" w:color="auto" w:sz="4" w:space="0"/>
              <w:left w:val="nil"/>
              <w:bottom w:val="single" w:color="auto" w:sz="4" w:space="0"/>
              <w:right w:val="single" w:color="auto" w:sz="4" w:space="0"/>
            </w:tcBorders>
            <w:noWrap/>
            <w:vAlign w:val="bottom"/>
          </w:tcPr>
          <w:p w14:paraId="5BC7CF5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知识考核实行计算机智能化考试的，可在上述标准基础上加收10元/人次。</w:t>
            </w:r>
          </w:p>
        </w:tc>
      </w:tr>
    </w:tbl>
    <w:p w14:paraId="33D9B416">
      <w:pPr>
        <w:autoSpaceDE w:val="0"/>
        <w:autoSpaceDN w:val="0"/>
        <w:spacing w:line="560" w:lineRule="atLeast"/>
        <w:ind w:right="220"/>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2、考生收到《职业技能等级认定考试准备通知单》后进行缴费，缴费期为2024年</w:t>
      </w:r>
      <w:r>
        <w:rPr>
          <w:rFonts w:hint="eastAsia" w:ascii="宋体" w:hAnsi="宋体" w:eastAsia="宋体" w:cs="宋体"/>
          <w:color w:val="000000" w:themeColor="text1"/>
          <w:sz w:val="24"/>
          <w:szCs w:val="24"/>
          <w:lang w:val="en-US" w:eastAsia="zh-CN"/>
          <w14:textFill>
            <w14:solidFill>
              <w14:schemeClr w14:val="tx1"/>
            </w14:solidFill>
          </w14:textFill>
        </w:rPr>
        <w:t>11</w:t>
      </w:r>
      <w:r>
        <w:rPr>
          <w:rFonts w:ascii="宋体" w:hAnsi="宋体" w:eastAsia="宋体" w:cs="宋体"/>
          <w:color w:val="000000" w:themeColor="text1"/>
          <w:sz w:val="24"/>
          <w:szCs w:val="24"/>
          <w14:textFill>
            <w14:solidFill>
              <w14:schemeClr w14:val="tx1"/>
            </w14:solidFill>
          </w14:textFill>
        </w:rPr>
        <w:t>月</w:t>
      </w:r>
      <w:r>
        <w:rPr>
          <w:rFonts w:hint="eastAsia" w:ascii="宋体" w:hAnsi="宋体" w:eastAsia="宋体" w:cs="宋体"/>
          <w:color w:val="000000" w:themeColor="text1"/>
          <w:sz w:val="24"/>
          <w:szCs w:val="24"/>
          <w:lang w:val="en-US" w:eastAsia="zh-CN"/>
          <w14:textFill>
            <w14:solidFill>
              <w14:schemeClr w14:val="tx1"/>
            </w14:solidFill>
          </w14:textFill>
        </w:rPr>
        <w:t>01</w:t>
      </w:r>
      <w:r>
        <w:rPr>
          <w:rFonts w:ascii="宋体" w:hAnsi="宋体" w:eastAsia="宋体" w:cs="宋体"/>
          <w:color w:val="000000" w:themeColor="text1"/>
          <w:sz w:val="24"/>
          <w:szCs w:val="24"/>
          <w14:textFill>
            <w14:solidFill>
              <w14:schemeClr w14:val="tx1"/>
            </w14:solidFill>
          </w14:textFill>
        </w:rPr>
        <w:t>日-</w:t>
      </w:r>
      <w:r>
        <w:rPr>
          <w:rFonts w:hint="eastAsia" w:ascii="宋体" w:hAnsi="宋体" w:eastAsia="宋体" w:cs="宋体"/>
          <w:color w:val="000000" w:themeColor="text1"/>
          <w:sz w:val="24"/>
          <w:szCs w:val="24"/>
          <w:lang w:val="en-US" w:eastAsia="zh-CN"/>
          <w14:textFill>
            <w14:solidFill>
              <w14:schemeClr w14:val="tx1"/>
            </w14:solidFill>
          </w14:textFill>
        </w:rPr>
        <w:t>12</w:t>
      </w:r>
      <w:r>
        <w:rPr>
          <w:rFonts w:ascii="宋体" w:hAnsi="宋体" w:eastAsia="宋体" w:cs="宋体"/>
          <w:color w:val="000000" w:themeColor="text1"/>
          <w:sz w:val="24"/>
          <w:szCs w:val="24"/>
          <w14:textFill>
            <w14:solidFill>
              <w14:schemeClr w14:val="tx1"/>
            </w14:solidFill>
          </w14:textFill>
        </w:rPr>
        <w:t>月</w:t>
      </w:r>
      <w:r>
        <w:rPr>
          <w:rFonts w:hint="eastAsia" w:ascii="宋体" w:hAnsi="宋体" w:eastAsia="宋体" w:cs="宋体"/>
          <w:color w:val="000000" w:themeColor="text1"/>
          <w:sz w:val="24"/>
          <w:szCs w:val="24"/>
          <w:lang w:val="en-US" w:eastAsia="zh-CN"/>
          <w14:textFill>
            <w14:solidFill>
              <w14:schemeClr w14:val="tx1"/>
            </w14:solidFill>
          </w14:textFill>
        </w:rPr>
        <w:t>10</w:t>
      </w:r>
      <w:r>
        <w:rPr>
          <w:rFonts w:ascii="宋体" w:hAnsi="宋体" w:eastAsia="宋体" w:cs="宋体"/>
          <w:color w:val="000000" w:themeColor="text1"/>
          <w:sz w:val="24"/>
          <w:szCs w:val="24"/>
          <w14:textFill>
            <w14:solidFill>
              <w14:schemeClr w14:val="tx1"/>
            </w14:solidFill>
          </w14:textFill>
        </w:rPr>
        <w:t>日8:00——17:00 截止, 收费后协会向考生开具收费发票或收据。</w:t>
      </w:r>
    </w:p>
    <w:p w14:paraId="16603B26">
      <w:pPr>
        <w:autoSpaceDE w:val="0"/>
        <w:autoSpaceDN w:val="0"/>
        <w:spacing w:before="260" w:line="320" w:lineRule="atLeast"/>
        <w:ind w:left="260"/>
        <w:rPr>
          <w:sz w:val="24"/>
          <w:szCs w:val="24"/>
        </w:rPr>
      </w:pPr>
      <w:r>
        <w:rPr>
          <w:rFonts w:ascii="宋体" w:hAnsi="宋体" w:eastAsia="宋体" w:cs="宋体"/>
          <w:color w:val="000000"/>
          <w:sz w:val="24"/>
          <w:szCs w:val="24"/>
        </w:rPr>
        <w:t>3、协会会计刘艳萍负责进行账务核准并存档，管理好相应账册备查；</w:t>
      </w:r>
    </w:p>
    <w:p w14:paraId="2D14AC32">
      <w:pPr>
        <w:autoSpaceDE w:val="0"/>
        <w:autoSpaceDN w:val="0"/>
        <w:spacing w:line="550" w:lineRule="atLeast"/>
        <w:ind w:left="260" w:right="220"/>
        <w:rPr>
          <w:rFonts w:hint="eastAsia" w:eastAsia="宋体"/>
          <w:sz w:val="24"/>
          <w:szCs w:val="24"/>
          <w:lang w:val="en-US" w:eastAsia="zh-CN"/>
        </w:rPr>
      </w:pPr>
      <w:r>
        <w:rPr>
          <w:rFonts w:ascii="宋体" w:hAnsi="宋体" w:eastAsia="宋体" w:cs="宋体"/>
          <w:color w:val="000000"/>
          <w:sz w:val="24"/>
          <w:szCs w:val="24"/>
        </w:rPr>
        <w:t>五、制定并提报《职业技能等级认定考核评价方案》、《开展社会化职业技能等级认定申请表》及《考生报名信息预审表》</w:t>
      </w:r>
      <w:r>
        <w:rPr>
          <w:rFonts w:hint="eastAsia" w:ascii="宋体" w:hAnsi="宋体" w:eastAsia="宋体" w:cs="宋体"/>
          <w:color w:val="000000"/>
          <w:sz w:val="24"/>
          <w:szCs w:val="24"/>
          <w:lang w:eastAsia="zh-CN"/>
        </w:rPr>
        <w:t>。</w:t>
      </w:r>
    </w:p>
    <w:p w14:paraId="79129745">
      <w:pPr>
        <w:autoSpaceDE w:val="0"/>
        <w:autoSpaceDN w:val="0"/>
        <w:spacing w:before="20" w:line="560" w:lineRule="atLeast"/>
        <w:ind w:left="240" w:right="200" w:firstLine="20"/>
        <w:rPr>
          <w:sz w:val="24"/>
          <w:szCs w:val="24"/>
        </w:rPr>
      </w:pPr>
      <w:r>
        <w:rPr>
          <w:rFonts w:ascii="宋体" w:hAnsi="宋体" w:eastAsia="宋体" w:cs="宋体"/>
          <w:color w:val="000000"/>
          <w:sz w:val="24"/>
          <w:szCs w:val="24"/>
        </w:rPr>
        <w:t>1、当期次报名结束后，由协会办公室负责人乔伟按照报名人数、职业、等级等综合情况：</w:t>
      </w:r>
    </w:p>
    <w:p w14:paraId="76555E64">
      <w:pPr>
        <w:autoSpaceDE w:val="0"/>
        <w:autoSpaceDN w:val="0"/>
        <w:spacing w:line="560" w:lineRule="atLeast"/>
        <w:ind w:left="100" w:right="340" w:firstLine="160"/>
        <w:rPr>
          <w:sz w:val="24"/>
          <w:szCs w:val="24"/>
        </w:rPr>
      </w:pPr>
      <w:r>
        <w:rPr>
          <w:rFonts w:ascii="宋体" w:hAnsi="宋体" w:eastAsia="宋体" w:cs="宋体"/>
          <w:color w:val="000000"/>
          <w:sz w:val="24"/>
          <w:szCs w:val="24"/>
        </w:rPr>
        <w:t>(1) 制定《泰安市饭店烹饪协会职业技能等级认定考核评价方案》;</w:t>
      </w:r>
    </w:p>
    <w:p w14:paraId="49DA6340">
      <w:pPr>
        <w:autoSpaceDE w:val="0"/>
        <w:autoSpaceDN w:val="0"/>
        <w:spacing w:line="567" w:lineRule="atLeast"/>
        <w:ind w:left="80" w:right="340" w:firstLine="180"/>
        <w:rPr>
          <w:sz w:val="24"/>
          <w:szCs w:val="24"/>
        </w:rPr>
      </w:pPr>
      <w:r>
        <w:rPr>
          <w:rFonts w:ascii="宋体" w:hAnsi="宋体" w:eastAsia="宋体" w:cs="宋体"/>
          <w:color w:val="000000"/>
          <w:sz w:val="24"/>
          <w:szCs w:val="24"/>
        </w:rPr>
        <w:t>(2) 填写《泰安市饭店烹饪协会开展社会化职业技能等级认定申请表》一式两份，协会及区公共就业和人才服务中心技能人才评价管理服务科均盖章后各留存一份；</w:t>
      </w:r>
    </w:p>
    <w:p w14:paraId="1A58DA5C">
      <w:pPr>
        <w:autoSpaceDE w:val="0"/>
        <w:autoSpaceDN w:val="0"/>
        <w:spacing w:line="570" w:lineRule="atLeast"/>
        <w:ind w:left="100" w:right="260" w:firstLine="160"/>
        <w:rPr>
          <w:sz w:val="24"/>
          <w:szCs w:val="24"/>
        </w:rPr>
      </w:pPr>
      <w:r>
        <w:rPr>
          <w:rFonts w:ascii="宋体" w:hAnsi="宋体" w:eastAsia="宋体" w:cs="宋体"/>
          <w:color w:val="000000"/>
          <w:sz w:val="24"/>
          <w:szCs w:val="24"/>
        </w:rPr>
        <w:t>(3)《考生报名信息预审表》一份及《职业技能等级认定报名资料审核承诺书》 一份；</w:t>
      </w:r>
    </w:p>
    <w:p w14:paraId="5226F785">
      <w:pPr>
        <w:autoSpaceDE w:val="0"/>
        <w:autoSpaceDN w:val="0"/>
        <w:spacing w:before="300" w:line="480" w:lineRule="auto"/>
        <w:ind w:firstLine="240" w:firstLineChars="100"/>
        <w:rPr>
          <w:sz w:val="24"/>
          <w:szCs w:val="24"/>
        </w:rPr>
      </w:pPr>
      <w:r>
        <w:rPr>
          <w:rFonts w:ascii="宋体" w:hAnsi="宋体" w:eastAsia="宋体" w:cs="宋体"/>
          <w:color w:val="000000"/>
          <w:sz w:val="24"/>
          <w:szCs w:val="24"/>
        </w:rPr>
        <w:t>将以上材料报区公共就业和人才服务中心技能人才评价管理服务科审核，此项通过后可进行“山东省职业技能等级评价平台”系统操作。</w:t>
      </w:r>
    </w:p>
    <w:p w14:paraId="2C5BE0E8">
      <w:pPr>
        <w:autoSpaceDE w:val="0"/>
        <w:autoSpaceDN w:val="0"/>
        <w:spacing w:before="260" w:line="300" w:lineRule="atLeast"/>
        <w:ind w:firstLine="240" w:firstLineChars="100"/>
        <w:rPr>
          <w:sz w:val="24"/>
          <w:szCs w:val="24"/>
        </w:rPr>
      </w:pPr>
      <w:r>
        <w:rPr>
          <w:rFonts w:ascii="宋体" w:hAnsi="宋体" w:eastAsia="宋体" w:cs="宋体"/>
          <w:color w:val="000000"/>
          <w:sz w:val="24"/>
          <w:szCs w:val="24"/>
        </w:rPr>
        <w:t>六、制定系统方案管理</w:t>
      </w:r>
    </w:p>
    <w:p w14:paraId="36412FC2">
      <w:pPr>
        <w:autoSpaceDE w:val="0"/>
        <w:autoSpaceDN w:val="0"/>
        <w:spacing w:before="40" w:line="547" w:lineRule="atLeast"/>
        <w:ind w:left="780"/>
        <w:rPr>
          <w:sz w:val="24"/>
          <w:szCs w:val="24"/>
        </w:rPr>
      </w:pPr>
      <w:r>
        <w:rPr>
          <w:rFonts w:ascii="宋体" w:hAnsi="宋体" w:eastAsia="宋体" w:cs="宋体"/>
          <w:color w:val="000000"/>
          <w:sz w:val="24"/>
          <w:szCs w:val="24"/>
        </w:rPr>
        <w:t>1、协会按照《公告》报名截止时间，完成当期报名组织活动，做好材料整理。并提前10 个工作日在“山东省职业技能等级评价平台”按照本机构实施技能等级认定《公告》计划期次制定评价计划方案，按照评定方案具体实施。</w:t>
      </w:r>
    </w:p>
    <w:p w14:paraId="4C97A8C8">
      <w:pPr>
        <w:autoSpaceDE w:val="0"/>
        <w:autoSpaceDN w:val="0"/>
        <w:spacing w:before="260" w:line="300" w:lineRule="atLeast"/>
        <w:ind w:left="780"/>
        <w:rPr>
          <w:sz w:val="24"/>
          <w:szCs w:val="24"/>
        </w:rPr>
      </w:pPr>
      <w:r>
        <w:rPr>
          <w:rFonts w:ascii="宋体" w:hAnsi="宋体" w:eastAsia="宋体" w:cs="宋体"/>
          <w:color w:val="000000"/>
          <w:sz w:val="24"/>
          <w:szCs w:val="24"/>
        </w:rPr>
        <w:t>(1) 制定计划</w:t>
      </w:r>
    </w:p>
    <w:p w14:paraId="305A9A1C">
      <w:pPr>
        <w:autoSpaceDE w:val="0"/>
        <w:autoSpaceDN w:val="0"/>
        <w:spacing w:before="260" w:line="300" w:lineRule="atLeast"/>
        <w:ind w:left="780"/>
        <w:rPr>
          <w:sz w:val="24"/>
          <w:szCs w:val="24"/>
        </w:rPr>
      </w:pPr>
      <w:r>
        <w:rPr>
          <w:rFonts w:ascii="宋体" w:hAnsi="宋体" w:eastAsia="宋体" w:cs="宋体"/>
          <w:color w:val="000000"/>
          <w:sz w:val="24"/>
          <w:szCs w:val="24"/>
        </w:rPr>
        <w:t>系统中计划名称：“2024</w:t>
      </w:r>
      <w:r>
        <w:rPr>
          <w:rFonts w:hint="eastAsia" w:ascii="宋体" w:hAnsi="宋体" w:eastAsia="宋体" w:cs="宋体"/>
          <w:color w:val="000000"/>
          <w:sz w:val="24"/>
          <w:szCs w:val="24"/>
          <w:lang w:val="en-US" w:eastAsia="zh-CN"/>
        </w:rPr>
        <w:t>1225</w:t>
      </w:r>
      <w:r>
        <w:rPr>
          <w:rFonts w:ascii="宋体" w:hAnsi="宋体" w:eastAsia="宋体" w:cs="宋体"/>
          <w:color w:val="000000"/>
          <w:sz w:val="24"/>
          <w:szCs w:val="24"/>
        </w:rPr>
        <w:t>第</w:t>
      </w:r>
      <w:r>
        <w:rPr>
          <w:rFonts w:hint="eastAsia" w:ascii="宋体" w:hAnsi="宋体" w:eastAsia="宋体" w:cs="宋体"/>
          <w:color w:val="000000"/>
          <w:sz w:val="24"/>
          <w:szCs w:val="24"/>
          <w:lang w:val="en-US" w:eastAsia="zh-CN"/>
        </w:rPr>
        <w:t>3</w:t>
      </w:r>
      <w:r>
        <w:rPr>
          <w:rFonts w:ascii="宋体" w:hAnsi="宋体" w:eastAsia="宋体" w:cs="宋体"/>
          <w:color w:val="000000"/>
          <w:sz w:val="24"/>
          <w:szCs w:val="24"/>
        </w:rPr>
        <w:t>期社评考核”</w:t>
      </w:r>
    </w:p>
    <w:p w14:paraId="2D9D025C">
      <w:pPr>
        <w:autoSpaceDE w:val="0"/>
        <w:autoSpaceDN w:val="0"/>
        <w:spacing w:before="260" w:line="300" w:lineRule="atLeast"/>
        <w:ind w:left="780"/>
        <w:rPr>
          <w:sz w:val="24"/>
          <w:szCs w:val="24"/>
        </w:rPr>
      </w:pPr>
      <w:r>
        <w:rPr>
          <w:rFonts w:ascii="宋体" w:hAnsi="宋体" w:eastAsia="宋体" w:cs="宋体"/>
          <w:color w:val="000000"/>
          <w:sz w:val="24"/>
          <w:szCs w:val="24"/>
        </w:rPr>
        <w:t>备注：乔伟，20240</w:t>
      </w:r>
      <w:r>
        <w:rPr>
          <w:rFonts w:hint="eastAsia" w:ascii="宋体" w:hAnsi="宋体" w:eastAsia="宋体" w:cs="宋体"/>
          <w:color w:val="000000"/>
          <w:sz w:val="24"/>
          <w:szCs w:val="24"/>
        </w:rPr>
        <w:t>613</w:t>
      </w:r>
      <w:r>
        <w:rPr>
          <w:rFonts w:ascii="宋体" w:hAnsi="宋体" w:eastAsia="宋体" w:cs="宋体"/>
          <w:color w:val="000000"/>
          <w:sz w:val="24"/>
          <w:szCs w:val="24"/>
        </w:rPr>
        <w:t xml:space="preserve"> 并点击保存，待市局审核，审核通过后进入下一步。</w:t>
      </w:r>
    </w:p>
    <w:p w14:paraId="44AAA504">
      <w:pPr>
        <w:autoSpaceDE w:val="0"/>
        <w:autoSpaceDN w:val="0"/>
        <w:spacing w:before="260" w:line="300" w:lineRule="atLeast"/>
        <w:ind w:left="780"/>
        <w:rPr>
          <w:sz w:val="24"/>
          <w:szCs w:val="24"/>
        </w:rPr>
      </w:pPr>
      <w:r>
        <w:rPr>
          <w:rFonts w:ascii="宋体" w:hAnsi="宋体" w:eastAsia="宋体" w:cs="宋体"/>
          <w:color w:val="000000"/>
          <w:sz w:val="24"/>
          <w:szCs w:val="24"/>
        </w:rPr>
        <w:t>(2) 计划中新增工种等级</w:t>
      </w:r>
    </w:p>
    <w:p w14:paraId="67C370B7">
      <w:pPr>
        <w:autoSpaceDE w:val="0"/>
        <w:autoSpaceDN w:val="0"/>
        <w:spacing w:before="260" w:line="300" w:lineRule="atLeast"/>
        <w:ind w:left="780"/>
        <w:rPr>
          <w:rFonts w:hint="eastAsia" w:ascii="宋体" w:hAnsi="宋体" w:eastAsia="宋体" w:cs="宋体"/>
          <w:color w:val="000000"/>
          <w:sz w:val="24"/>
          <w:szCs w:val="24"/>
          <w:lang w:eastAsia="zh-CN"/>
        </w:rPr>
      </w:pPr>
      <w:r>
        <w:rPr>
          <w:rFonts w:ascii="宋体" w:hAnsi="宋体" w:eastAsia="宋体" w:cs="宋体"/>
          <w:color w:val="000000"/>
          <w:sz w:val="24"/>
          <w:szCs w:val="24"/>
        </w:rPr>
        <w:t>系统中增加中式烹调师</w:t>
      </w:r>
      <w:r>
        <w:rPr>
          <w:rFonts w:hint="eastAsia" w:ascii="宋体" w:hAnsi="宋体" w:eastAsia="宋体" w:cs="宋体"/>
          <w:color w:val="000000"/>
          <w:sz w:val="24"/>
          <w:szCs w:val="24"/>
          <w:lang w:val="en-US" w:eastAsia="zh-CN"/>
        </w:rPr>
        <w:t>一</w:t>
      </w:r>
      <w:r>
        <w:rPr>
          <w:rFonts w:hint="eastAsia" w:ascii="宋体" w:hAnsi="宋体" w:eastAsia="宋体" w:cs="宋体"/>
          <w:color w:val="000000"/>
          <w:sz w:val="24"/>
          <w:szCs w:val="24"/>
        </w:rPr>
        <w:t>、三</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四、五</w:t>
      </w:r>
      <w:r>
        <w:rPr>
          <w:rFonts w:hint="eastAsia" w:ascii="宋体" w:hAnsi="宋体" w:eastAsia="宋体" w:cs="宋体"/>
          <w:color w:val="000000"/>
          <w:sz w:val="24"/>
          <w:szCs w:val="24"/>
        </w:rPr>
        <w:t>级；</w:t>
      </w:r>
      <w:r>
        <w:rPr>
          <w:rFonts w:ascii="宋体" w:hAnsi="宋体" w:eastAsia="宋体" w:cs="宋体"/>
          <w:color w:val="000000"/>
          <w:sz w:val="24"/>
          <w:szCs w:val="24"/>
        </w:rPr>
        <w:t>中式面点师三级</w:t>
      </w:r>
      <w:r>
        <w:rPr>
          <w:rFonts w:hint="eastAsia" w:ascii="宋体" w:hAnsi="宋体" w:eastAsia="宋体" w:cs="宋体"/>
          <w:color w:val="000000"/>
          <w:sz w:val="24"/>
          <w:szCs w:val="24"/>
          <w:lang w:eastAsia="zh-CN"/>
        </w:rPr>
        <w:t>；</w:t>
      </w:r>
    </w:p>
    <w:p w14:paraId="2B5EA395">
      <w:pPr>
        <w:autoSpaceDE w:val="0"/>
        <w:autoSpaceDN w:val="0"/>
        <w:spacing w:before="280" w:line="300" w:lineRule="atLeast"/>
        <w:ind w:left="780"/>
        <w:rPr>
          <w:sz w:val="24"/>
          <w:szCs w:val="24"/>
        </w:rPr>
      </w:pPr>
      <w:r>
        <w:rPr>
          <w:rFonts w:ascii="宋体" w:hAnsi="宋体" w:eastAsia="宋体" w:cs="宋体"/>
          <w:color w:val="000000"/>
          <w:sz w:val="24"/>
          <w:szCs w:val="24"/>
        </w:rPr>
        <w:t>选择需要进行的理论考试形式：机考考试，实操考试形式：技能实操；</w:t>
      </w:r>
    </w:p>
    <w:p w14:paraId="12752062">
      <w:pPr>
        <w:autoSpaceDE w:val="0"/>
        <w:autoSpaceDN w:val="0"/>
        <w:spacing w:before="260" w:line="300" w:lineRule="atLeast"/>
        <w:ind w:left="780"/>
        <w:rPr>
          <w:rFonts w:hint="eastAsia" w:ascii="宋体" w:hAnsi="宋体" w:eastAsia="宋体" w:cs="宋体"/>
          <w:color w:val="000000"/>
          <w:sz w:val="24"/>
          <w:szCs w:val="24"/>
        </w:rPr>
      </w:pPr>
      <w:r>
        <w:rPr>
          <w:rFonts w:ascii="宋体" w:hAnsi="宋体" w:eastAsia="宋体" w:cs="宋体"/>
          <w:color w:val="000000"/>
          <w:sz w:val="24"/>
          <w:szCs w:val="24"/>
        </w:rPr>
        <w:t>中式烹调师</w:t>
      </w:r>
      <w:r>
        <w:rPr>
          <w:rFonts w:hint="eastAsia" w:ascii="宋体" w:hAnsi="宋体" w:eastAsia="宋体" w:cs="宋体"/>
          <w:color w:val="000000"/>
          <w:sz w:val="24"/>
          <w:szCs w:val="24"/>
          <w:lang w:val="en-US" w:eastAsia="zh-CN"/>
        </w:rPr>
        <w:t>一</w:t>
      </w:r>
      <w:r>
        <w:rPr>
          <w:rFonts w:hint="eastAsia" w:ascii="宋体" w:hAnsi="宋体" w:eastAsia="宋体" w:cs="宋体"/>
          <w:color w:val="000000"/>
          <w:sz w:val="24"/>
          <w:szCs w:val="24"/>
        </w:rPr>
        <w:t>、三</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四、五</w:t>
      </w:r>
      <w:r>
        <w:rPr>
          <w:rFonts w:hint="eastAsia" w:ascii="宋体" w:hAnsi="宋体" w:eastAsia="宋体" w:cs="宋体"/>
          <w:color w:val="000000"/>
          <w:sz w:val="24"/>
          <w:szCs w:val="24"/>
        </w:rPr>
        <w:t>级；</w:t>
      </w:r>
      <w:r>
        <w:rPr>
          <w:rFonts w:ascii="宋体" w:hAnsi="宋体" w:eastAsia="宋体" w:cs="宋体"/>
          <w:color w:val="000000"/>
          <w:sz w:val="24"/>
          <w:szCs w:val="24"/>
        </w:rPr>
        <w:t>中式面点师三级</w:t>
      </w:r>
      <w:r>
        <w:rPr>
          <w:rFonts w:hint="eastAsia" w:ascii="宋体" w:hAnsi="宋体" w:eastAsia="宋体" w:cs="宋体"/>
          <w:color w:val="000000"/>
          <w:sz w:val="24"/>
          <w:szCs w:val="24"/>
        </w:rPr>
        <w:t xml:space="preserve">           </w:t>
      </w:r>
    </w:p>
    <w:p w14:paraId="1BEE3B2E">
      <w:pPr>
        <w:autoSpaceDE w:val="0"/>
        <w:autoSpaceDN w:val="0"/>
        <w:spacing w:before="260" w:line="300" w:lineRule="atLeast"/>
        <w:ind w:left="780"/>
        <w:rPr>
          <w:rFonts w:ascii="宋体" w:hAnsi="宋体" w:eastAsia="宋体" w:cs="宋体"/>
          <w:color w:val="000000"/>
          <w:sz w:val="24"/>
          <w:szCs w:val="24"/>
        </w:rPr>
      </w:pPr>
      <w:r>
        <w:rPr>
          <w:rFonts w:ascii="宋体" w:hAnsi="宋体" w:eastAsia="宋体" w:cs="宋体"/>
          <w:color w:val="000000"/>
          <w:sz w:val="24"/>
          <w:szCs w:val="24"/>
        </w:rPr>
        <w:t>机考考试时间: 2024年</w:t>
      </w:r>
      <w:r>
        <w:rPr>
          <w:rFonts w:hint="eastAsia" w:ascii="宋体" w:hAnsi="宋体" w:eastAsia="宋体" w:cs="宋体"/>
          <w:color w:val="000000"/>
          <w:sz w:val="24"/>
          <w:szCs w:val="24"/>
          <w:lang w:val="en-US" w:eastAsia="zh-CN"/>
        </w:rPr>
        <w:t>12</w:t>
      </w:r>
      <w:r>
        <w:rPr>
          <w:rFonts w:ascii="宋体" w:hAnsi="宋体" w:eastAsia="宋体" w:cs="宋体"/>
          <w:color w:val="000000"/>
          <w:sz w:val="24"/>
          <w:szCs w:val="24"/>
        </w:rPr>
        <w:t>月</w:t>
      </w:r>
      <w:r>
        <w:rPr>
          <w:rFonts w:hint="eastAsia" w:ascii="宋体" w:hAnsi="宋体" w:eastAsia="宋体" w:cs="宋体"/>
          <w:color w:val="000000"/>
          <w:sz w:val="24"/>
          <w:szCs w:val="24"/>
          <w:lang w:val="en-US" w:eastAsia="zh-CN"/>
        </w:rPr>
        <w:t>25</w:t>
      </w:r>
      <w:r>
        <w:rPr>
          <w:rFonts w:ascii="宋体" w:hAnsi="宋体" w:eastAsia="宋体" w:cs="宋体"/>
          <w:color w:val="000000"/>
          <w:sz w:val="24"/>
          <w:szCs w:val="24"/>
        </w:rPr>
        <w:t>日 08:30-10:00</w:t>
      </w:r>
    </w:p>
    <w:p w14:paraId="2A05D1A1">
      <w:pPr>
        <w:autoSpaceDE w:val="0"/>
        <w:autoSpaceDN w:val="0"/>
        <w:spacing w:before="280" w:line="300" w:lineRule="atLeast"/>
        <w:ind w:left="780"/>
        <w:rPr>
          <w:rFonts w:ascii="宋体" w:hAnsi="宋体" w:eastAsia="宋体" w:cs="宋体"/>
          <w:color w:val="000000"/>
          <w:sz w:val="24"/>
          <w:szCs w:val="24"/>
        </w:rPr>
      </w:pPr>
      <w:r>
        <w:rPr>
          <w:rFonts w:ascii="宋体" w:hAnsi="宋体" w:eastAsia="宋体" w:cs="宋体"/>
          <w:color w:val="000000"/>
          <w:sz w:val="24"/>
          <w:szCs w:val="24"/>
        </w:rPr>
        <w:t>技能实操考试时间: 2024年</w:t>
      </w:r>
      <w:r>
        <w:rPr>
          <w:rFonts w:hint="eastAsia" w:ascii="宋体" w:hAnsi="宋体" w:eastAsia="宋体" w:cs="宋体"/>
          <w:color w:val="000000"/>
          <w:sz w:val="24"/>
          <w:szCs w:val="24"/>
          <w:lang w:val="en-US" w:eastAsia="zh-CN"/>
        </w:rPr>
        <w:t>12</w:t>
      </w:r>
      <w:r>
        <w:rPr>
          <w:rFonts w:ascii="宋体" w:hAnsi="宋体" w:eastAsia="宋体" w:cs="宋体"/>
          <w:color w:val="000000"/>
          <w:sz w:val="24"/>
          <w:szCs w:val="24"/>
        </w:rPr>
        <w:t>月</w:t>
      </w:r>
      <w:r>
        <w:rPr>
          <w:rFonts w:hint="eastAsia" w:ascii="宋体" w:hAnsi="宋体" w:eastAsia="宋体" w:cs="宋体"/>
          <w:color w:val="000000"/>
          <w:sz w:val="24"/>
          <w:szCs w:val="24"/>
          <w:lang w:val="en-US" w:eastAsia="zh-CN"/>
        </w:rPr>
        <w:t>25</w:t>
      </w:r>
      <w:r>
        <w:rPr>
          <w:rFonts w:ascii="宋体" w:hAnsi="宋体" w:eastAsia="宋体" w:cs="宋体"/>
          <w:color w:val="000000"/>
          <w:sz w:val="24"/>
          <w:szCs w:val="24"/>
        </w:rPr>
        <w:t>日</w:t>
      </w:r>
      <w:r>
        <w:rPr>
          <w:rFonts w:hint="eastAsia" w:ascii="宋体" w:hAnsi="宋体" w:eastAsia="宋体" w:cs="宋体"/>
          <w:color w:val="000000"/>
          <w:sz w:val="24"/>
          <w:szCs w:val="24"/>
        </w:rPr>
        <w:t>14</w:t>
      </w:r>
      <w:r>
        <w:rPr>
          <w:rFonts w:ascii="宋体" w:hAnsi="宋体" w:eastAsia="宋体" w:cs="宋体"/>
          <w:color w:val="000000"/>
          <w:sz w:val="24"/>
          <w:szCs w:val="24"/>
        </w:rPr>
        <w:t>:</w:t>
      </w:r>
      <w:r>
        <w:rPr>
          <w:rFonts w:hint="eastAsia" w:ascii="宋体" w:hAnsi="宋体" w:eastAsia="宋体" w:cs="宋体"/>
          <w:color w:val="000000"/>
          <w:sz w:val="24"/>
          <w:szCs w:val="24"/>
        </w:rPr>
        <w:t>0</w:t>
      </w:r>
      <w:r>
        <w:rPr>
          <w:rFonts w:ascii="宋体" w:hAnsi="宋体" w:eastAsia="宋体" w:cs="宋体"/>
          <w:color w:val="000000"/>
          <w:sz w:val="24"/>
          <w:szCs w:val="24"/>
        </w:rPr>
        <w:t>0-1</w:t>
      </w:r>
      <w:r>
        <w:rPr>
          <w:rFonts w:hint="eastAsia" w:ascii="宋体" w:hAnsi="宋体" w:eastAsia="宋体" w:cs="宋体"/>
          <w:color w:val="000000"/>
          <w:sz w:val="24"/>
          <w:szCs w:val="24"/>
          <w:lang w:val="en-US" w:eastAsia="zh-CN"/>
        </w:rPr>
        <w:t>6</w:t>
      </w:r>
      <w:r>
        <w:rPr>
          <w:rFonts w:ascii="宋体" w:hAnsi="宋体" w:eastAsia="宋体" w:cs="宋体"/>
          <w:color w:val="000000"/>
          <w:sz w:val="24"/>
          <w:szCs w:val="24"/>
        </w:rPr>
        <w:t>:00</w:t>
      </w:r>
    </w:p>
    <w:p w14:paraId="02DAE1A6">
      <w:pPr>
        <w:autoSpaceDE w:val="0"/>
        <w:autoSpaceDN w:val="0"/>
        <w:spacing w:before="260" w:line="300" w:lineRule="atLeast"/>
        <w:ind w:left="780"/>
        <w:rPr>
          <w:sz w:val="24"/>
          <w:szCs w:val="24"/>
        </w:rPr>
      </w:pPr>
      <w:r>
        <w:rPr>
          <w:rFonts w:ascii="宋体" w:hAnsi="宋体" w:eastAsia="宋体" w:cs="宋体"/>
          <w:color w:val="000000"/>
          <w:sz w:val="24"/>
          <w:szCs w:val="24"/>
        </w:rPr>
        <w:t xml:space="preserve"> (3) 上传评价方案</w:t>
      </w:r>
    </w:p>
    <w:p w14:paraId="2FDAAE3B">
      <w:pPr>
        <w:autoSpaceDE w:val="0"/>
        <w:autoSpaceDN w:val="0"/>
        <w:spacing w:before="280" w:line="300" w:lineRule="atLeast"/>
        <w:ind w:left="780"/>
        <w:rPr>
          <w:sz w:val="24"/>
          <w:szCs w:val="24"/>
        </w:rPr>
      </w:pPr>
      <w:r>
        <w:rPr>
          <w:rFonts w:ascii="宋体" w:hAnsi="宋体" w:eastAsia="宋体" w:cs="宋体"/>
          <w:color w:val="000000"/>
          <w:sz w:val="24"/>
          <w:szCs w:val="24"/>
        </w:rPr>
        <w:t>①《泰安市饭店烹饪协会职业技能等级认定考核评价方案》；</w:t>
      </w:r>
    </w:p>
    <w:p w14:paraId="6DC8967A">
      <w:pPr>
        <w:autoSpaceDE w:val="0"/>
        <w:autoSpaceDN w:val="0"/>
        <w:spacing w:line="550" w:lineRule="atLeast"/>
        <w:ind w:left="780"/>
        <w:rPr>
          <w:sz w:val="24"/>
          <w:szCs w:val="24"/>
        </w:rPr>
      </w:pPr>
      <w:r>
        <w:rPr>
          <w:rFonts w:ascii="宋体" w:hAnsi="宋体" w:eastAsia="宋体" w:cs="宋体"/>
          <w:color w:val="000000"/>
          <w:sz w:val="24"/>
          <w:szCs w:val="24"/>
        </w:rPr>
        <w:t>②《泰安市饭店烹饪协会开展社会化职业技能等级认定申请表》PDF盖章版;</w:t>
      </w:r>
    </w:p>
    <w:p w14:paraId="581C121B">
      <w:pPr>
        <w:autoSpaceDE w:val="0"/>
        <w:autoSpaceDN w:val="0"/>
        <w:spacing w:before="280" w:line="300" w:lineRule="atLeast"/>
        <w:ind w:left="780"/>
        <w:rPr>
          <w:sz w:val="24"/>
          <w:szCs w:val="24"/>
        </w:rPr>
      </w:pPr>
      <w:r>
        <w:rPr>
          <w:rFonts w:ascii="宋体" w:hAnsi="宋体" w:eastAsia="宋体" w:cs="宋体"/>
          <w:color w:val="000000"/>
          <w:sz w:val="24"/>
          <w:szCs w:val="24"/>
        </w:rPr>
        <w:t>③《考生报名信息预审表》，上传后等待审核。</w:t>
      </w:r>
    </w:p>
    <w:p w14:paraId="383715D5">
      <w:pPr>
        <w:autoSpaceDE w:val="0"/>
        <w:autoSpaceDN w:val="0"/>
        <w:spacing w:before="260" w:line="300" w:lineRule="atLeast"/>
        <w:ind w:left="780"/>
        <w:rPr>
          <w:sz w:val="24"/>
          <w:szCs w:val="24"/>
        </w:rPr>
      </w:pPr>
      <w:r>
        <w:rPr>
          <w:rFonts w:ascii="宋体" w:hAnsi="宋体" w:eastAsia="宋体" w:cs="宋体"/>
          <w:color w:val="000000"/>
          <w:sz w:val="24"/>
          <w:szCs w:val="24"/>
        </w:rPr>
        <w:t>(4) 考生报名</w:t>
      </w:r>
    </w:p>
    <w:p w14:paraId="3A911C80">
      <w:pPr>
        <w:autoSpaceDE w:val="0"/>
        <w:autoSpaceDN w:val="0"/>
        <w:spacing w:before="280" w:line="300" w:lineRule="atLeast"/>
        <w:ind w:left="780"/>
        <w:rPr>
          <w:sz w:val="24"/>
          <w:szCs w:val="24"/>
        </w:rPr>
      </w:pPr>
      <w:r>
        <w:rPr>
          <w:rFonts w:ascii="宋体" w:hAnsi="宋体" w:eastAsia="宋体" w:cs="宋体"/>
          <w:color w:val="000000"/>
          <w:sz w:val="24"/>
          <w:szCs w:val="24"/>
        </w:rPr>
        <w:t>计划审核通过后，首页代待办考生报名。</w:t>
      </w:r>
    </w:p>
    <w:p w14:paraId="58D5B421">
      <w:pPr>
        <w:autoSpaceDE w:val="0"/>
        <w:autoSpaceDN w:val="0"/>
        <w:spacing w:before="260" w:line="300" w:lineRule="atLeast"/>
        <w:ind w:left="780"/>
        <w:rPr>
          <w:sz w:val="24"/>
          <w:szCs w:val="24"/>
        </w:rPr>
      </w:pPr>
      <w:r>
        <w:rPr>
          <w:rFonts w:ascii="宋体" w:hAnsi="宋体" w:eastAsia="宋体" w:cs="宋体"/>
          <w:color w:val="000000"/>
          <w:sz w:val="24"/>
          <w:szCs w:val="24"/>
        </w:rPr>
        <w:t>通过下载模板将考生信息全部导入系统；</w:t>
      </w:r>
    </w:p>
    <w:p w14:paraId="747208BE">
      <w:pPr>
        <w:autoSpaceDE w:val="0"/>
        <w:autoSpaceDN w:val="0"/>
        <w:spacing w:before="60" w:line="540" w:lineRule="atLeast"/>
        <w:ind w:left="780" w:right="580"/>
        <w:rPr>
          <w:sz w:val="24"/>
          <w:szCs w:val="24"/>
        </w:rPr>
      </w:pPr>
      <w:r>
        <w:rPr>
          <w:rFonts w:ascii="宋体" w:hAnsi="宋体" w:eastAsia="宋体" w:cs="宋体"/>
          <w:color w:val="000000"/>
          <w:sz w:val="24"/>
          <w:szCs w:val="24"/>
        </w:rPr>
        <w:t>照片导入中将考生用身份证号码命名的照片全部打包为zip格式导入系统；此项作为后期考场编排的依据。</w:t>
      </w:r>
    </w:p>
    <w:p w14:paraId="2AA62057">
      <w:pPr>
        <w:autoSpaceDE w:val="0"/>
        <w:autoSpaceDN w:val="0"/>
        <w:spacing w:before="300" w:line="300" w:lineRule="atLeast"/>
        <w:ind w:left="780"/>
        <w:rPr>
          <w:rFonts w:ascii="宋体" w:hAnsi="宋体" w:eastAsia="宋体" w:cs="宋体"/>
          <w:color w:val="000000"/>
          <w:sz w:val="24"/>
          <w:szCs w:val="24"/>
        </w:rPr>
      </w:pPr>
      <w:r>
        <w:rPr>
          <w:rFonts w:ascii="宋体" w:hAnsi="宋体" w:eastAsia="宋体" w:cs="宋体"/>
          <w:color w:val="000000"/>
          <w:sz w:val="24"/>
          <w:szCs w:val="24"/>
        </w:rPr>
        <w:t>(5) 考点信息维护</w:t>
      </w:r>
    </w:p>
    <w:p w14:paraId="22D302D8">
      <w:pPr>
        <w:autoSpaceDE w:val="0"/>
        <w:autoSpaceDN w:val="0"/>
        <w:spacing w:before="300" w:line="300" w:lineRule="atLeast"/>
        <w:ind w:left="780"/>
        <w:rPr>
          <w:sz w:val="24"/>
          <w:szCs w:val="24"/>
        </w:rPr>
      </w:pPr>
      <w:r>
        <w:rPr>
          <w:rFonts w:ascii="宋体" w:hAnsi="宋体" w:eastAsia="宋体" w:cs="宋体"/>
          <w:color w:val="000000"/>
          <w:sz w:val="24"/>
          <w:szCs w:val="24"/>
        </w:rPr>
        <w:t>首先在业务办理中进行考点维护；</w:t>
      </w:r>
    </w:p>
    <w:p w14:paraId="3750FEAC">
      <w:pPr>
        <w:spacing w:line="120" w:lineRule="exact"/>
      </w:pPr>
    </w:p>
    <w:tbl>
      <w:tblPr>
        <w:tblStyle w:val="5"/>
        <w:tblW w:w="0" w:type="auto"/>
        <w:tblInd w:w="3"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2400"/>
        <w:gridCol w:w="1380"/>
        <w:gridCol w:w="2820"/>
        <w:gridCol w:w="1420"/>
        <w:gridCol w:w="2240"/>
      </w:tblGrid>
      <w:tr w14:paraId="6AC3730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0" w:hRule="atLeast"/>
        </w:trPr>
        <w:tc>
          <w:tcPr>
            <w:tcW w:w="2400" w:type="dxa"/>
            <w:vAlign w:val="center"/>
          </w:tcPr>
          <w:p w14:paraId="6D725645">
            <w:pPr>
              <w:autoSpaceDE w:val="0"/>
              <w:autoSpaceDN w:val="0"/>
              <w:spacing w:line="240" w:lineRule="atLeast"/>
              <w:jc w:val="center"/>
              <w:rPr>
                <w:rFonts w:ascii="仿宋" w:hAnsi="仿宋" w:eastAsia="仿宋"/>
                <w:sz w:val="20"/>
              </w:rPr>
            </w:pPr>
            <w:r>
              <w:rPr>
                <w:rFonts w:ascii="仿宋" w:hAnsi="仿宋" w:eastAsia="仿宋" w:cs="宋体"/>
                <w:color w:val="000000"/>
                <w:sz w:val="20"/>
              </w:rPr>
              <w:t>考试工种名称</w:t>
            </w:r>
          </w:p>
        </w:tc>
        <w:tc>
          <w:tcPr>
            <w:tcW w:w="1380" w:type="dxa"/>
            <w:vAlign w:val="center"/>
          </w:tcPr>
          <w:p w14:paraId="296A1A80">
            <w:pPr>
              <w:autoSpaceDE w:val="0"/>
              <w:autoSpaceDN w:val="0"/>
              <w:spacing w:line="240" w:lineRule="atLeast"/>
              <w:jc w:val="center"/>
              <w:rPr>
                <w:rFonts w:ascii="仿宋" w:hAnsi="仿宋" w:eastAsia="仿宋"/>
                <w:sz w:val="20"/>
              </w:rPr>
            </w:pPr>
            <w:r>
              <w:rPr>
                <w:rFonts w:ascii="仿宋" w:hAnsi="仿宋" w:eastAsia="仿宋" w:cs="宋体"/>
                <w:color w:val="000000"/>
                <w:sz w:val="20"/>
              </w:rPr>
              <w:t>考点类型</w:t>
            </w:r>
          </w:p>
        </w:tc>
        <w:tc>
          <w:tcPr>
            <w:tcW w:w="2820" w:type="dxa"/>
            <w:vAlign w:val="center"/>
          </w:tcPr>
          <w:p w14:paraId="7E3C7BE5">
            <w:pPr>
              <w:autoSpaceDE w:val="0"/>
              <w:autoSpaceDN w:val="0"/>
              <w:spacing w:line="240" w:lineRule="atLeast"/>
              <w:jc w:val="center"/>
              <w:rPr>
                <w:rFonts w:ascii="仿宋" w:hAnsi="仿宋" w:eastAsia="仿宋"/>
                <w:sz w:val="20"/>
              </w:rPr>
            </w:pPr>
            <w:r>
              <w:rPr>
                <w:rFonts w:ascii="仿宋" w:hAnsi="仿宋" w:eastAsia="仿宋" w:cs="宋体"/>
                <w:color w:val="000000"/>
                <w:sz w:val="20"/>
              </w:rPr>
              <w:t>考点地址</w:t>
            </w:r>
          </w:p>
        </w:tc>
        <w:tc>
          <w:tcPr>
            <w:tcW w:w="1420" w:type="dxa"/>
            <w:vAlign w:val="center"/>
          </w:tcPr>
          <w:p w14:paraId="028DBE3B">
            <w:pPr>
              <w:autoSpaceDE w:val="0"/>
              <w:autoSpaceDN w:val="0"/>
              <w:spacing w:line="240" w:lineRule="atLeast"/>
              <w:jc w:val="center"/>
              <w:rPr>
                <w:rFonts w:ascii="仿宋" w:hAnsi="仿宋" w:eastAsia="仿宋"/>
                <w:sz w:val="20"/>
              </w:rPr>
            </w:pPr>
            <w:r>
              <w:rPr>
                <w:rFonts w:ascii="仿宋" w:hAnsi="仿宋" w:eastAsia="仿宋" w:cs="宋体"/>
                <w:color w:val="000000"/>
                <w:sz w:val="20"/>
              </w:rPr>
              <w:t>考场名</w:t>
            </w:r>
          </w:p>
        </w:tc>
        <w:tc>
          <w:tcPr>
            <w:tcW w:w="2240" w:type="dxa"/>
            <w:vAlign w:val="center"/>
          </w:tcPr>
          <w:p w14:paraId="75ED1ECD">
            <w:pPr>
              <w:autoSpaceDE w:val="0"/>
              <w:autoSpaceDN w:val="0"/>
              <w:spacing w:line="240" w:lineRule="atLeast"/>
              <w:jc w:val="center"/>
              <w:rPr>
                <w:rFonts w:ascii="仿宋" w:hAnsi="仿宋" w:eastAsia="仿宋"/>
                <w:sz w:val="20"/>
              </w:rPr>
            </w:pPr>
            <w:r>
              <w:rPr>
                <w:rFonts w:ascii="仿宋" w:hAnsi="仿宋" w:eastAsia="仿宋" w:cs="宋体"/>
                <w:color w:val="000000"/>
                <w:sz w:val="20"/>
              </w:rPr>
              <w:t>考场可容纳人数</w:t>
            </w:r>
          </w:p>
        </w:tc>
      </w:tr>
      <w:tr w14:paraId="35BCF4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95" w:hRule="atLeast"/>
        </w:trPr>
        <w:tc>
          <w:tcPr>
            <w:tcW w:w="2400" w:type="dxa"/>
            <w:vAlign w:val="center"/>
          </w:tcPr>
          <w:p w14:paraId="032B3DE9">
            <w:pPr>
              <w:autoSpaceDE w:val="0"/>
              <w:autoSpaceDN w:val="0"/>
              <w:spacing w:line="276" w:lineRule="auto"/>
              <w:jc w:val="center"/>
              <w:rPr>
                <w:rFonts w:ascii="仿宋" w:hAnsi="仿宋" w:eastAsia="仿宋" w:cs="宋体"/>
                <w:color w:val="000000"/>
                <w:sz w:val="20"/>
              </w:rPr>
            </w:pPr>
            <w:r>
              <w:rPr>
                <w:rFonts w:ascii="仿宋" w:hAnsi="仿宋" w:eastAsia="仿宋" w:cs="宋体"/>
                <w:color w:val="000000"/>
                <w:sz w:val="20"/>
              </w:rPr>
              <w:t>中式烹调师</w:t>
            </w:r>
          </w:p>
          <w:p w14:paraId="361EAE37">
            <w:pPr>
              <w:autoSpaceDE w:val="0"/>
              <w:autoSpaceDN w:val="0"/>
              <w:spacing w:line="276" w:lineRule="auto"/>
              <w:jc w:val="center"/>
              <w:rPr>
                <w:rFonts w:ascii="仿宋" w:hAnsi="仿宋" w:eastAsia="仿宋"/>
                <w:sz w:val="20"/>
              </w:rPr>
            </w:pPr>
            <w:r>
              <w:rPr>
                <w:rFonts w:hint="eastAsia" w:ascii="仿宋" w:hAnsi="仿宋" w:eastAsia="仿宋" w:cs="宋体"/>
                <w:color w:val="000000"/>
                <w:sz w:val="20"/>
              </w:rPr>
              <w:t>中式面点师</w:t>
            </w:r>
          </w:p>
        </w:tc>
        <w:tc>
          <w:tcPr>
            <w:tcW w:w="1380" w:type="dxa"/>
            <w:vAlign w:val="center"/>
          </w:tcPr>
          <w:p w14:paraId="68570863">
            <w:pPr>
              <w:autoSpaceDE w:val="0"/>
              <w:autoSpaceDN w:val="0"/>
              <w:spacing w:line="240" w:lineRule="atLeast"/>
              <w:jc w:val="center"/>
              <w:rPr>
                <w:rFonts w:ascii="仿宋" w:hAnsi="仿宋" w:eastAsia="仿宋"/>
                <w:sz w:val="20"/>
              </w:rPr>
            </w:pPr>
            <w:r>
              <w:rPr>
                <w:rFonts w:ascii="仿宋" w:hAnsi="仿宋" w:eastAsia="仿宋" w:cs="宋体"/>
                <w:color w:val="000000"/>
                <w:sz w:val="20"/>
              </w:rPr>
              <w:t>理论</w:t>
            </w:r>
          </w:p>
        </w:tc>
        <w:tc>
          <w:tcPr>
            <w:tcW w:w="2820" w:type="dxa"/>
          </w:tcPr>
          <w:p w14:paraId="55727E35">
            <w:pPr>
              <w:autoSpaceDE w:val="0"/>
              <w:autoSpaceDN w:val="0"/>
              <w:spacing w:before="340" w:line="240" w:lineRule="atLeast"/>
              <w:rPr>
                <w:rFonts w:ascii="仿宋" w:hAnsi="仿宋" w:eastAsia="仿宋"/>
                <w:sz w:val="20"/>
              </w:rPr>
            </w:pPr>
            <w:r>
              <w:rPr>
                <w:rFonts w:ascii="仿宋" w:hAnsi="仿宋" w:eastAsia="仿宋"/>
                <w:sz w:val="20"/>
              </w:rPr>
              <w:t>泰安市泰山区龙潭路</w:t>
            </w:r>
            <w:r>
              <w:rPr>
                <w:rFonts w:hint="eastAsia" w:ascii="仿宋" w:hAnsi="仿宋" w:eastAsia="仿宋"/>
                <w:sz w:val="20"/>
              </w:rPr>
              <w:t>217-2号办公楼2楼</w:t>
            </w:r>
          </w:p>
        </w:tc>
        <w:tc>
          <w:tcPr>
            <w:tcW w:w="1420" w:type="dxa"/>
            <w:vAlign w:val="center"/>
          </w:tcPr>
          <w:p w14:paraId="6449F2A4">
            <w:pPr>
              <w:autoSpaceDE w:val="0"/>
              <w:autoSpaceDN w:val="0"/>
              <w:spacing w:line="240" w:lineRule="atLeast"/>
              <w:jc w:val="center"/>
              <w:rPr>
                <w:rFonts w:ascii="仿宋" w:hAnsi="仿宋" w:eastAsia="仿宋"/>
                <w:sz w:val="20"/>
              </w:rPr>
            </w:pPr>
            <w:r>
              <w:rPr>
                <w:rFonts w:ascii="仿宋" w:hAnsi="仿宋" w:eastAsia="仿宋" w:cs="宋体"/>
                <w:color w:val="000000"/>
                <w:sz w:val="20"/>
              </w:rPr>
              <w:t>理论考场</w:t>
            </w:r>
          </w:p>
        </w:tc>
        <w:tc>
          <w:tcPr>
            <w:tcW w:w="2240" w:type="dxa"/>
            <w:vAlign w:val="center"/>
          </w:tcPr>
          <w:p w14:paraId="3649071D">
            <w:pPr>
              <w:autoSpaceDE w:val="0"/>
              <w:autoSpaceDN w:val="0"/>
              <w:spacing w:line="240" w:lineRule="atLeast"/>
              <w:jc w:val="center"/>
              <w:rPr>
                <w:rFonts w:ascii="仿宋" w:hAnsi="仿宋" w:eastAsia="仿宋"/>
                <w:sz w:val="20"/>
              </w:rPr>
            </w:pPr>
            <w:r>
              <w:rPr>
                <w:rFonts w:hint="eastAsia" w:ascii="仿宋" w:hAnsi="仿宋" w:eastAsia="仿宋" w:cs="宋体"/>
                <w:color w:val="000000"/>
                <w:sz w:val="20"/>
                <w:lang w:val="en-US" w:eastAsia="zh-CN"/>
              </w:rPr>
              <w:t>26</w:t>
            </w:r>
            <w:r>
              <w:rPr>
                <w:rFonts w:ascii="仿宋" w:hAnsi="仿宋" w:eastAsia="仿宋" w:cs="宋体"/>
                <w:color w:val="000000"/>
                <w:sz w:val="20"/>
              </w:rPr>
              <w:t>人</w:t>
            </w:r>
          </w:p>
        </w:tc>
      </w:tr>
      <w:tr w14:paraId="3BC9F5E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206" w:hRule="atLeast"/>
        </w:trPr>
        <w:tc>
          <w:tcPr>
            <w:tcW w:w="2400" w:type="dxa"/>
            <w:vAlign w:val="center"/>
          </w:tcPr>
          <w:p w14:paraId="11966C1F">
            <w:pPr>
              <w:autoSpaceDE w:val="0"/>
              <w:autoSpaceDN w:val="0"/>
              <w:spacing w:line="276" w:lineRule="auto"/>
              <w:jc w:val="center"/>
              <w:rPr>
                <w:rFonts w:ascii="仿宋" w:hAnsi="仿宋" w:eastAsia="仿宋" w:cs="宋体"/>
                <w:color w:val="000000"/>
                <w:sz w:val="20"/>
              </w:rPr>
            </w:pPr>
            <w:r>
              <w:rPr>
                <w:rFonts w:ascii="仿宋" w:hAnsi="仿宋" w:eastAsia="仿宋" w:cs="宋体"/>
                <w:color w:val="000000"/>
                <w:sz w:val="20"/>
              </w:rPr>
              <w:t>中式烹调师</w:t>
            </w:r>
          </w:p>
          <w:p w14:paraId="142954D5">
            <w:pPr>
              <w:autoSpaceDE w:val="0"/>
              <w:autoSpaceDN w:val="0"/>
              <w:spacing w:line="276" w:lineRule="auto"/>
              <w:jc w:val="center"/>
              <w:rPr>
                <w:rFonts w:ascii="仿宋" w:hAnsi="仿宋" w:eastAsia="仿宋"/>
                <w:sz w:val="20"/>
              </w:rPr>
            </w:pPr>
            <w:r>
              <w:rPr>
                <w:rFonts w:hint="eastAsia" w:ascii="仿宋" w:hAnsi="仿宋" w:eastAsia="仿宋" w:cs="宋体"/>
                <w:color w:val="000000"/>
                <w:sz w:val="20"/>
              </w:rPr>
              <w:t>中式面点师</w:t>
            </w:r>
          </w:p>
        </w:tc>
        <w:tc>
          <w:tcPr>
            <w:tcW w:w="1380" w:type="dxa"/>
            <w:vAlign w:val="center"/>
          </w:tcPr>
          <w:p w14:paraId="407F663C">
            <w:pPr>
              <w:autoSpaceDE w:val="0"/>
              <w:autoSpaceDN w:val="0"/>
              <w:spacing w:line="240" w:lineRule="atLeast"/>
              <w:jc w:val="center"/>
              <w:rPr>
                <w:rFonts w:ascii="仿宋" w:hAnsi="仿宋" w:eastAsia="仿宋"/>
                <w:sz w:val="20"/>
              </w:rPr>
            </w:pPr>
            <w:r>
              <w:rPr>
                <w:rFonts w:ascii="仿宋" w:hAnsi="仿宋" w:eastAsia="仿宋" w:cs="宋体"/>
                <w:color w:val="000000"/>
                <w:sz w:val="20"/>
              </w:rPr>
              <w:t>实操</w:t>
            </w:r>
          </w:p>
        </w:tc>
        <w:tc>
          <w:tcPr>
            <w:tcW w:w="2820" w:type="dxa"/>
            <w:vAlign w:val="center"/>
          </w:tcPr>
          <w:p w14:paraId="52D17F99">
            <w:pPr>
              <w:autoSpaceDE w:val="0"/>
              <w:autoSpaceDN w:val="0"/>
              <w:spacing w:before="320" w:line="276" w:lineRule="auto"/>
              <w:rPr>
                <w:rFonts w:ascii="仿宋" w:hAnsi="仿宋" w:eastAsia="仿宋"/>
                <w:sz w:val="20"/>
              </w:rPr>
            </w:pPr>
            <w:r>
              <w:rPr>
                <w:rFonts w:ascii="仿宋" w:hAnsi="仿宋" w:eastAsia="仿宋"/>
                <w:sz w:val="20"/>
              </w:rPr>
              <w:t>泰安市泰山区岱宗大街</w:t>
            </w:r>
            <w:r>
              <w:rPr>
                <w:rFonts w:hint="eastAsia" w:ascii="仿宋" w:hAnsi="仿宋" w:eastAsia="仿宋"/>
                <w:sz w:val="20"/>
              </w:rPr>
              <w:t>566号巨鼎云海生态园</w:t>
            </w:r>
          </w:p>
          <w:p w14:paraId="6C5F665A">
            <w:pPr>
              <w:autoSpaceDE w:val="0"/>
              <w:autoSpaceDN w:val="0"/>
              <w:spacing w:before="320" w:line="276" w:lineRule="auto"/>
              <w:rPr>
                <w:rFonts w:ascii="仿宋" w:hAnsi="仿宋" w:eastAsia="仿宋"/>
                <w:sz w:val="20"/>
              </w:rPr>
            </w:pPr>
          </w:p>
        </w:tc>
        <w:tc>
          <w:tcPr>
            <w:tcW w:w="1420" w:type="dxa"/>
            <w:vAlign w:val="center"/>
          </w:tcPr>
          <w:p w14:paraId="47D825C5">
            <w:pPr>
              <w:autoSpaceDE w:val="0"/>
              <w:autoSpaceDN w:val="0"/>
              <w:spacing w:line="240" w:lineRule="atLeast"/>
              <w:jc w:val="center"/>
              <w:rPr>
                <w:rFonts w:ascii="仿宋" w:hAnsi="仿宋" w:eastAsia="仿宋"/>
                <w:sz w:val="20"/>
              </w:rPr>
            </w:pPr>
            <w:r>
              <w:rPr>
                <w:rFonts w:ascii="仿宋" w:hAnsi="仿宋" w:eastAsia="仿宋" w:cs="宋体"/>
                <w:color w:val="000000"/>
                <w:sz w:val="20"/>
              </w:rPr>
              <w:t>实操考场</w:t>
            </w:r>
          </w:p>
        </w:tc>
        <w:tc>
          <w:tcPr>
            <w:tcW w:w="2240" w:type="dxa"/>
            <w:vAlign w:val="center"/>
          </w:tcPr>
          <w:p w14:paraId="5F06589D">
            <w:pPr>
              <w:autoSpaceDE w:val="0"/>
              <w:autoSpaceDN w:val="0"/>
              <w:spacing w:line="240" w:lineRule="atLeast"/>
              <w:jc w:val="center"/>
              <w:rPr>
                <w:rFonts w:ascii="仿宋" w:hAnsi="仿宋" w:eastAsia="仿宋"/>
                <w:sz w:val="20"/>
              </w:rPr>
            </w:pPr>
            <w:r>
              <w:rPr>
                <w:rFonts w:hint="eastAsia" w:ascii="仿宋" w:hAnsi="仿宋" w:eastAsia="仿宋" w:cs="宋体"/>
                <w:color w:val="000000"/>
                <w:sz w:val="20"/>
                <w:lang w:val="en-US" w:eastAsia="zh-CN"/>
              </w:rPr>
              <w:t>26</w:t>
            </w:r>
            <w:r>
              <w:rPr>
                <w:rFonts w:ascii="仿宋" w:hAnsi="仿宋" w:eastAsia="仿宋" w:cs="宋体"/>
                <w:color w:val="000000"/>
                <w:sz w:val="20"/>
              </w:rPr>
              <w:t>人</w:t>
            </w:r>
          </w:p>
        </w:tc>
      </w:tr>
    </w:tbl>
    <w:p w14:paraId="389F8655">
      <w:pPr>
        <w:autoSpaceDE w:val="0"/>
        <w:autoSpaceDN w:val="0"/>
        <w:spacing w:before="180" w:line="300" w:lineRule="atLeast"/>
        <w:ind w:left="40"/>
        <w:rPr>
          <w:sz w:val="21"/>
          <w:szCs w:val="21"/>
        </w:rPr>
      </w:pPr>
      <w:r>
        <w:rPr>
          <w:rFonts w:ascii="宋体" w:hAnsi="宋体" w:eastAsia="宋体" w:cs="宋体"/>
          <w:color w:val="000000"/>
          <w:sz w:val="21"/>
          <w:szCs w:val="21"/>
        </w:rPr>
        <w:t>备注：维护完成考点后维护考场。</w:t>
      </w:r>
    </w:p>
    <w:p w14:paraId="1441DBAF">
      <w:pPr>
        <w:autoSpaceDE w:val="0"/>
        <w:autoSpaceDN w:val="0"/>
        <w:spacing w:before="260" w:line="300" w:lineRule="atLeast"/>
        <w:ind w:left="40"/>
        <w:rPr>
          <w:sz w:val="24"/>
          <w:szCs w:val="24"/>
        </w:rPr>
      </w:pPr>
      <w:r>
        <w:rPr>
          <w:rFonts w:ascii="宋体" w:hAnsi="宋体" w:eastAsia="宋体" w:cs="宋体"/>
          <w:color w:val="000000"/>
          <w:sz w:val="24"/>
          <w:szCs w:val="24"/>
        </w:rPr>
        <w:t>负责人：乔伟</w:t>
      </w:r>
    </w:p>
    <w:p w14:paraId="709A6877">
      <w:pPr>
        <w:autoSpaceDE w:val="0"/>
        <w:autoSpaceDN w:val="0"/>
        <w:spacing w:before="260" w:line="300" w:lineRule="atLeast"/>
        <w:ind w:left="40"/>
        <w:rPr>
          <w:sz w:val="24"/>
          <w:szCs w:val="24"/>
        </w:rPr>
      </w:pPr>
      <w:r>
        <w:rPr>
          <w:rFonts w:ascii="宋体" w:hAnsi="宋体" w:eastAsia="宋体" w:cs="宋体"/>
          <w:color w:val="000000"/>
          <w:sz w:val="24"/>
          <w:szCs w:val="24"/>
        </w:rPr>
        <w:t>七、职业技能等级认定现场考点、考场设置</w:t>
      </w:r>
    </w:p>
    <w:p w14:paraId="381731D8">
      <w:pPr>
        <w:autoSpaceDE w:val="0"/>
        <w:autoSpaceDN w:val="0"/>
        <w:spacing w:before="280" w:line="300" w:lineRule="atLeast"/>
        <w:ind w:left="40"/>
        <w:rPr>
          <w:sz w:val="24"/>
          <w:szCs w:val="24"/>
        </w:rPr>
      </w:pPr>
      <w:r>
        <w:rPr>
          <w:rFonts w:ascii="宋体" w:hAnsi="宋体" w:eastAsia="宋体" w:cs="宋体"/>
          <w:color w:val="000000"/>
          <w:sz w:val="24"/>
          <w:szCs w:val="24"/>
        </w:rPr>
        <w:t>1、 考点设置：</w:t>
      </w:r>
    </w:p>
    <w:p w14:paraId="3FF5FD1C">
      <w:pPr>
        <w:autoSpaceDE w:val="0"/>
        <w:autoSpaceDN w:val="0"/>
        <w:spacing w:before="280" w:line="300" w:lineRule="atLeast"/>
        <w:ind w:left="40"/>
        <w:rPr>
          <w:sz w:val="24"/>
          <w:szCs w:val="24"/>
        </w:rPr>
      </w:pPr>
      <w:r>
        <w:rPr>
          <w:rFonts w:ascii="宋体" w:hAnsi="宋体" w:eastAsia="宋体" w:cs="宋体"/>
          <w:color w:val="000000"/>
          <w:sz w:val="24"/>
          <w:szCs w:val="24"/>
        </w:rPr>
        <w:t>考点地址：泰山区龙潭路</w:t>
      </w:r>
      <w:r>
        <w:rPr>
          <w:rFonts w:hint="eastAsia" w:ascii="宋体" w:hAnsi="宋体" w:eastAsia="宋体" w:cs="宋体"/>
          <w:color w:val="000000"/>
          <w:sz w:val="24"/>
          <w:szCs w:val="24"/>
        </w:rPr>
        <w:t>217-2号泰安市饭店烹饪协会办公楼2楼</w:t>
      </w:r>
    </w:p>
    <w:p w14:paraId="4F43A331">
      <w:pPr>
        <w:autoSpaceDE w:val="0"/>
        <w:autoSpaceDN w:val="0"/>
        <w:spacing w:before="260" w:line="300" w:lineRule="atLeast"/>
        <w:ind w:left="40"/>
        <w:rPr>
          <w:sz w:val="24"/>
          <w:szCs w:val="24"/>
        </w:rPr>
      </w:pPr>
      <w:r>
        <w:rPr>
          <w:rFonts w:ascii="宋体" w:hAnsi="宋体" w:eastAsia="宋体" w:cs="宋体"/>
          <w:color w:val="000000"/>
          <w:sz w:val="24"/>
          <w:szCs w:val="24"/>
        </w:rPr>
        <w:t>理论考场: 2</w:t>
      </w:r>
      <w:r>
        <w:rPr>
          <w:rFonts w:hint="eastAsia" w:ascii="宋体" w:hAnsi="宋体" w:eastAsia="宋体" w:cs="宋体"/>
          <w:color w:val="000000"/>
          <w:sz w:val="24"/>
          <w:szCs w:val="24"/>
        </w:rPr>
        <w:t>01网络教</w:t>
      </w:r>
      <w:r>
        <w:rPr>
          <w:rFonts w:ascii="宋体" w:hAnsi="宋体" w:eastAsia="宋体" w:cs="宋体"/>
          <w:color w:val="000000"/>
          <w:sz w:val="24"/>
          <w:szCs w:val="24"/>
        </w:rPr>
        <w:t>室;</w:t>
      </w:r>
    </w:p>
    <w:p w14:paraId="1C9E933E">
      <w:pPr>
        <w:autoSpaceDE w:val="0"/>
        <w:autoSpaceDN w:val="0"/>
        <w:spacing w:before="280" w:line="300" w:lineRule="atLeast"/>
        <w:ind w:left="40"/>
        <w:rPr>
          <w:sz w:val="24"/>
          <w:szCs w:val="24"/>
        </w:rPr>
      </w:pPr>
      <w:r>
        <w:rPr>
          <w:rFonts w:ascii="宋体" w:hAnsi="宋体" w:eastAsia="宋体" w:cs="宋体"/>
          <w:color w:val="000000"/>
          <w:sz w:val="24"/>
          <w:szCs w:val="24"/>
        </w:rPr>
        <w:t>技能操作考场：操作间；</w:t>
      </w:r>
    </w:p>
    <w:p w14:paraId="624FA63B">
      <w:pPr>
        <w:autoSpaceDE w:val="0"/>
        <w:autoSpaceDN w:val="0"/>
        <w:spacing w:before="240" w:line="300" w:lineRule="atLeast"/>
        <w:ind w:left="40"/>
        <w:rPr>
          <w:sz w:val="24"/>
          <w:szCs w:val="24"/>
        </w:rPr>
      </w:pPr>
      <w:r>
        <w:rPr>
          <w:rFonts w:ascii="宋体" w:hAnsi="宋体" w:eastAsia="宋体" w:cs="宋体"/>
          <w:color w:val="000000"/>
          <w:sz w:val="24"/>
          <w:szCs w:val="24"/>
        </w:rPr>
        <w:t xml:space="preserve">考务办公室: </w:t>
      </w:r>
      <w:r>
        <w:rPr>
          <w:rFonts w:hint="eastAsia" w:ascii="宋体" w:hAnsi="宋体" w:eastAsia="宋体" w:cs="宋体"/>
          <w:color w:val="000000"/>
          <w:sz w:val="24"/>
          <w:szCs w:val="24"/>
        </w:rPr>
        <w:t>202</w:t>
      </w:r>
      <w:r>
        <w:rPr>
          <w:rFonts w:ascii="宋体" w:hAnsi="宋体" w:eastAsia="宋体" w:cs="宋体"/>
          <w:color w:val="000000"/>
          <w:sz w:val="24"/>
          <w:szCs w:val="24"/>
        </w:rPr>
        <w:t>室;</w:t>
      </w:r>
    </w:p>
    <w:p w14:paraId="271BDB91">
      <w:pPr>
        <w:autoSpaceDE w:val="0"/>
        <w:autoSpaceDN w:val="0"/>
        <w:spacing w:before="300" w:line="300" w:lineRule="atLeast"/>
        <w:ind w:left="40"/>
        <w:rPr>
          <w:sz w:val="24"/>
          <w:szCs w:val="24"/>
        </w:rPr>
      </w:pPr>
      <w:r>
        <w:rPr>
          <w:rFonts w:ascii="宋体" w:hAnsi="宋体" w:eastAsia="宋体" w:cs="宋体"/>
          <w:color w:val="000000"/>
          <w:sz w:val="24"/>
          <w:szCs w:val="24"/>
        </w:rPr>
        <w:t xml:space="preserve">阅卷室: </w:t>
      </w:r>
      <w:r>
        <w:rPr>
          <w:rFonts w:hint="eastAsia" w:ascii="宋体" w:hAnsi="宋体" w:eastAsia="宋体" w:cs="宋体"/>
          <w:color w:val="000000"/>
          <w:sz w:val="24"/>
          <w:szCs w:val="24"/>
        </w:rPr>
        <w:t>203</w:t>
      </w:r>
      <w:r>
        <w:rPr>
          <w:rFonts w:ascii="宋体" w:hAnsi="宋体" w:eastAsia="宋体" w:cs="宋体"/>
          <w:color w:val="000000"/>
          <w:sz w:val="24"/>
          <w:szCs w:val="24"/>
        </w:rPr>
        <w:t>室;</w:t>
      </w:r>
    </w:p>
    <w:p w14:paraId="02DAEC8B">
      <w:pPr>
        <w:autoSpaceDE w:val="0"/>
        <w:autoSpaceDN w:val="0"/>
        <w:spacing w:before="280" w:line="300" w:lineRule="atLeast"/>
        <w:ind w:left="40"/>
        <w:rPr>
          <w:sz w:val="24"/>
          <w:szCs w:val="24"/>
        </w:rPr>
      </w:pPr>
      <w:r>
        <w:rPr>
          <w:rFonts w:ascii="宋体" w:hAnsi="宋体" w:eastAsia="宋体" w:cs="宋体"/>
          <w:color w:val="000000"/>
          <w:sz w:val="24"/>
          <w:szCs w:val="24"/>
        </w:rPr>
        <w:t xml:space="preserve">保密室: </w:t>
      </w:r>
      <w:r>
        <w:rPr>
          <w:rFonts w:hint="eastAsia" w:ascii="宋体" w:hAnsi="宋体" w:eastAsia="宋体" w:cs="宋体"/>
          <w:color w:val="000000"/>
          <w:sz w:val="24"/>
          <w:szCs w:val="24"/>
        </w:rPr>
        <w:t>204</w:t>
      </w:r>
      <w:r>
        <w:rPr>
          <w:rFonts w:ascii="宋体" w:hAnsi="宋体" w:eastAsia="宋体" w:cs="宋体"/>
          <w:color w:val="000000"/>
          <w:sz w:val="24"/>
          <w:szCs w:val="24"/>
        </w:rPr>
        <w:t>室;</w:t>
      </w:r>
    </w:p>
    <w:p w14:paraId="38BD8429">
      <w:pPr>
        <w:autoSpaceDE w:val="0"/>
        <w:autoSpaceDN w:val="0"/>
        <w:spacing w:before="240" w:line="300" w:lineRule="atLeast"/>
        <w:ind w:left="40"/>
        <w:rPr>
          <w:sz w:val="24"/>
          <w:szCs w:val="24"/>
        </w:rPr>
      </w:pPr>
      <w:r>
        <w:rPr>
          <w:rFonts w:ascii="宋体" w:hAnsi="宋体" w:eastAsia="宋体" w:cs="宋体"/>
          <w:color w:val="000000"/>
          <w:sz w:val="24"/>
          <w:szCs w:val="24"/>
        </w:rPr>
        <w:t xml:space="preserve">档案室: </w:t>
      </w:r>
      <w:r>
        <w:rPr>
          <w:rFonts w:hint="eastAsia" w:ascii="宋体" w:hAnsi="宋体" w:eastAsia="宋体" w:cs="宋体"/>
          <w:color w:val="000000"/>
          <w:sz w:val="24"/>
          <w:szCs w:val="24"/>
        </w:rPr>
        <w:t>204</w:t>
      </w:r>
      <w:r>
        <w:rPr>
          <w:rFonts w:ascii="宋体" w:hAnsi="宋体" w:eastAsia="宋体" w:cs="宋体"/>
          <w:color w:val="000000"/>
          <w:sz w:val="24"/>
          <w:szCs w:val="24"/>
        </w:rPr>
        <w:t>室;</w:t>
      </w:r>
    </w:p>
    <w:p w14:paraId="69243810">
      <w:pPr>
        <w:autoSpaceDE w:val="0"/>
        <w:autoSpaceDN w:val="0"/>
        <w:spacing w:before="340" w:line="300" w:lineRule="atLeast"/>
        <w:ind w:left="40"/>
        <w:rPr>
          <w:sz w:val="24"/>
          <w:szCs w:val="24"/>
        </w:rPr>
      </w:pPr>
      <w:r>
        <w:rPr>
          <w:rFonts w:ascii="宋体" w:hAnsi="宋体" w:eastAsia="宋体" w:cs="宋体"/>
          <w:color w:val="000000"/>
          <w:sz w:val="24"/>
          <w:szCs w:val="24"/>
        </w:rPr>
        <w:t xml:space="preserve">学员候考室: </w:t>
      </w:r>
      <w:r>
        <w:rPr>
          <w:rFonts w:hint="eastAsia" w:ascii="宋体" w:hAnsi="宋体" w:eastAsia="宋体" w:cs="宋体"/>
          <w:color w:val="000000"/>
          <w:sz w:val="24"/>
          <w:szCs w:val="24"/>
        </w:rPr>
        <w:t>205室</w:t>
      </w:r>
      <w:r>
        <w:rPr>
          <w:rFonts w:ascii="宋体" w:hAnsi="宋体" w:eastAsia="宋体" w:cs="宋体"/>
          <w:color w:val="000000"/>
          <w:sz w:val="24"/>
          <w:szCs w:val="24"/>
        </w:rPr>
        <w:t>。</w:t>
      </w:r>
    </w:p>
    <w:p w14:paraId="06A4768F">
      <w:pPr>
        <w:autoSpaceDE w:val="0"/>
        <w:autoSpaceDN w:val="0"/>
        <w:spacing w:before="380" w:line="300" w:lineRule="atLeast"/>
        <w:ind w:left="40"/>
        <w:rPr>
          <w:sz w:val="24"/>
          <w:szCs w:val="24"/>
        </w:rPr>
      </w:pPr>
      <w:r>
        <w:rPr>
          <w:rFonts w:ascii="宋体" w:hAnsi="宋体" w:eastAsia="宋体" w:cs="宋体"/>
          <w:color w:val="000000"/>
          <w:sz w:val="24"/>
          <w:szCs w:val="24"/>
        </w:rPr>
        <w:t>2、 考点要求：</w:t>
      </w:r>
    </w:p>
    <w:p w14:paraId="0B971428">
      <w:pPr>
        <w:autoSpaceDE w:val="0"/>
        <w:autoSpaceDN w:val="0"/>
        <w:spacing w:before="20" w:line="560" w:lineRule="atLeast"/>
        <w:ind w:right="500" w:firstLine="40"/>
        <w:rPr>
          <w:rFonts w:hint="eastAsia" w:eastAsia="宋体"/>
          <w:sz w:val="24"/>
          <w:szCs w:val="24"/>
          <w:lang w:eastAsia="zh-CN"/>
        </w:rPr>
      </w:pPr>
      <w:r>
        <w:rPr>
          <w:rFonts w:ascii="宋体" w:hAnsi="宋体" w:eastAsia="宋体" w:cs="宋体"/>
          <w:color w:val="000000"/>
          <w:sz w:val="24"/>
          <w:szCs w:val="24"/>
        </w:rPr>
        <w:t>根据本次考核内容中式烹调师、中式面点师工种进行考试机考教室分配，在考前对计算机设备进行系统调试，实操工位设施准备，安排考务、考试、侯考、试卷存放等；对考点设置身份识别、信号屏蔽、音频视屏监控等管理设备，并可以保存视频资料</w:t>
      </w:r>
      <w:r>
        <w:rPr>
          <w:rFonts w:hint="eastAsia" w:ascii="宋体" w:hAnsi="宋体" w:eastAsia="宋体" w:cs="宋体"/>
          <w:color w:val="000000"/>
          <w:sz w:val="24"/>
          <w:szCs w:val="24"/>
          <w:lang w:eastAsia="zh-CN"/>
        </w:rPr>
        <w:t>。</w:t>
      </w:r>
    </w:p>
    <w:p w14:paraId="727634B3">
      <w:pPr>
        <w:autoSpaceDE w:val="0"/>
        <w:autoSpaceDN w:val="0"/>
        <w:spacing w:before="20" w:line="560" w:lineRule="atLeast"/>
        <w:ind w:right="500" w:firstLine="40"/>
        <w:rPr>
          <w:sz w:val="24"/>
          <w:szCs w:val="24"/>
        </w:rPr>
      </w:pPr>
      <w:r>
        <w:rPr>
          <w:rFonts w:ascii="宋体" w:hAnsi="宋体" w:eastAsia="宋体" w:cs="宋体"/>
          <w:color w:val="000000"/>
          <w:sz w:val="24"/>
          <w:szCs w:val="24"/>
        </w:rPr>
        <w:t>3、 考场设置：</w:t>
      </w:r>
    </w:p>
    <w:p w14:paraId="4318B021">
      <w:pPr>
        <w:autoSpaceDE w:val="0"/>
        <w:autoSpaceDN w:val="0"/>
        <w:spacing w:before="280" w:line="320" w:lineRule="atLeast"/>
        <w:ind w:left="660"/>
        <w:rPr>
          <w:sz w:val="24"/>
          <w:szCs w:val="24"/>
        </w:rPr>
      </w:pPr>
      <w:r>
        <w:rPr>
          <w:rFonts w:ascii="宋体" w:hAnsi="宋体" w:eastAsia="宋体" w:cs="宋体"/>
          <w:color w:val="000000"/>
          <w:sz w:val="24"/>
          <w:szCs w:val="24"/>
        </w:rPr>
        <w:t>考场分为：理论考场、 技能操作考场；</w:t>
      </w:r>
    </w:p>
    <w:p w14:paraId="5716D030">
      <w:pPr>
        <w:autoSpaceDE w:val="0"/>
        <w:autoSpaceDN w:val="0"/>
        <w:spacing w:line="560" w:lineRule="atLeast"/>
        <w:ind w:left="480" w:right="140" w:firstLine="180"/>
        <w:rPr>
          <w:sz w:val="24"/>
          <w:szCs w:val="24"/>
        </w:rPr>
      </w:pPr>
      <w:r>
        <w:rPr>
          <w:rFonts w:ascii="宋体" w:hAnsi="宋体" w:eastAsia="宋体" w:cs="宋体"/>
          <w:color w:val="000000"/>
          <w:sz w:val="24"/>
          <w:szCs w:val="24"/>
        </w:rPr>
        <w:t>(1) 理论考场：具备线上考试能力的标准计算机教室，内置机考工位</w:t>
      </w:r>
      <w:r>
        <w:rPr>
          <w:rFonts w:hint="eastAsia" w:ascii="宋体" w:hAnsi="宋体" w:eastAsia="宋体" w:cs="宋体"/>
          <w:color w:val="000000"/>
          <w:sz w:val="24"/>
          <w:szCs w:val="24"/>
        </w:rPr>
        <w:t>30台</w:t>
      </w:r>
      <w:r>
        <w:rPr>
          <w:rFonts w:ascii="宋体" w:hAnsi="宋体" w:eastAsia="宋体" w:cs="宋体"/>
          <w:color w:val="000000"/>
          <w:sz w:val="24"/>
          <w:szCs w:val="24"/>
        </w:rPr>
        <w:t>，实行单人单桌，设置座位编号，位置前后间距通畅，便于监考管理；</w:t>
      </w:r>
    </w:p>
    <w:p w14:paraId="3FBFEB34">
      <w:pPr>
        <w:autoSpaceDE w:val="0"/>
        <w:autoSpaceDN w:val="0"/>
        <w:spacing w:line="560" w:lineRule="atLeast"/>
        <w:ind w:left="420" w:leftChars="200" w:firstLine="240" w:firstLineChars="100"/>
        <w:rPr>
          <w:sz w:val="24"/>
          <w:szCs w:val="24"/>
        </w:rPr>
      </w:pPr>
      <w:r>
        <w:rPr>
          <w:rFonts w:ascii="宋体" w:hAnsi="宋体" w:eastAsia="宋体" w:cs="宋体"/>
          <w:color w:val="000000"/>
          <w:sz w:val="24"/>
          <w:szCs w:val="24"/>
        </w:rPr>
        <w:t>(2) 技能操作考场：实操工位设置1</w:t>
      </w:r>
      <w:r>
        <w:rPr>
          <w:rFonts w:hint="eastAsia" w:ascii="宋体" w:hAnsi="宋体" w:eastAsia="宋体" w:cs="宋体"/>
          <w:color w:val="000000"/>
          <w:sz w:val="24"/>
          <w:szCs w:val="24"/>
        </w:rPr>
        <w:t>0</w:t>
      </w:r>
      <w:r>
        <w:rPr>
          <w:rFonts w:ascii="宋体" w:hAnsi="宋体" w:eastAsia="宋体" w:cs="宋体"/>
          <w:color w:val="000000"/>
          <w:sz w:val="24"/>
          <w:szCs w:val="24"/>
        </w:rPr>
        <w:t>个工位，可同时1</w:t>
      </w:r>
      <w:r>
        <w:rPr>
          <w:rFonts w:hint="eastAsia" w:ascii="宋体" w:hAnsi="宋体" w:eastAsia="宋体" w:cs="宋体"/>
          <w:color w:val="000000"/>
          <w:sz w:val="24"/>
          <w:szCs w:val="24"/>
        </w:rPr>
        <w:t>0</w:t>
      </w:r>
      <w:r>
        <w:rPr>
          <w:rFonts w:ascii="宋体" w:hAnsi="宋体" w:eastAsia="宋体" w:cs="宋体"/>
          <w:color w:val="000000"/>
          <w:sz w:val="24"/>
          <w:szCs w:val="24"/>
        </w:rPr>
        <w:t>人进行考核，操作教具准备齐全，完好易操作，工位设置距离做到相互不干扰，有充足的操作空间；</w:t>
      </w:r>
    </w:p>
    <w:p w14:paraId="2F5800F2">
      <w:pPr>
        <w:autoSpaceDE w:val="0"/>
        <w:autoSpaceDN w:val="0"/>
        <w:spacing w:line="580" w:lineRule="atLeast"/>
        <w:ind w:left="520" w:right="280" w:firstLine="140"/>
        <w:rPr>
          <w:sz w:val="24"/>
          <w:szCs w:val="24"/>
        </w:rPr>
      </w:pPr>
      <w:r>
        <w:rPr>
          <w:rFonts w:ascii="宋体" w:hAnsi="宋体" w:eastAsia="宋体" w:cs="宋体"/>
          <w:color w:val="000000"/>
          <w:sz w:val="24"/>
          <w:szCs w:val="24"/>
        </w:rPr>
        <w:t>(3) 教室内设置音频视频监控，可实时监控考试现场画面，音频画质清晰，并能记录保存视频文件；</w:t>
      </w:r>
    </w:p>
    <w:p w14:paraId="632AFB4F">
      <w:pPr>
        <w:autoSpaceDE w:val="0"/>
        <w:autoSpaceDN w:val="0"/>
        <w:spacing w:before="240" w:line="320" w:lineRule="atLeast"/>
        <w:ind w:left="660"/>
        <w:rPr>
          <w:sz w:val="24"/>
          <w:szCs w:val="24"/>
        </w:rPr>
      </w:pPr>
      <w:r>
        <w:rPr>
          <w:rFonts w:ascii="宋体" w:hAnsi="宋体" w:eastAsia="宋体" w:cs="宋体"/>
          <w:color w:val="000000"/>
          <w:sz w:val="24"/>
          <w:szCs w:val="24"/>
        </w:rPr>
        <w:t>八、系统中考场编排</w:t>
      </w:r>
    </w:p>
    <w:p w14:paraId="67BAA136">
      <w:pPr>
        <w:autoSpaceDE w:val="0"/>
        <w:autoSpaceDN w:val="0"/>
        <w:spacing w:before="280" w:line="320" w:lineRule="atLeast"/>
        <w:ind w:left="660"/>
        <w:rPr>
          <w:sz w:val="24"/>
          <w:szCs w:val="24"/>
        </w:rPr>
      </w:pPr>
      <w:r>
        <w:rPr>
          <w:rFonts w:ascii="宋体" w:hAnsi="宋体" w:eastAsia="宋体" w:cs="宋体"/>
          <w:color w:val="000000"/>
          <w:sz w:val="24"/>
          <w:szCs w:val="24"/>
        </w:rPr>
        <w:t>(1) 增加考场。</w:t>
      </w:r>
    </w:p>
    <w:p w14:paraId="77F25331">
      <w:pPr>
        <w:autoSpaceDE w:val="0"/>
        <w:autoSpaceDN w:val="0"/>
        <w:spacing w:before="240" w:line="320" w:lineRule="atLeast"/>
        <w:ind w:left="660"/>
        <w:rPr>
          <w:sz w:val="24"/>
          <w:szCs w:val="24"/>
        </w:rPr>
      </w:pPr>
      <w:r>
        <w:rPr>
          <w:rFonts w:ascii="宋体" w:hAnsi="宋体" w:eastAsia="宋体" w:cs="宋体"/>
          <w:color w:val="000000"/>
          <w:sz w:val="24"/>
          <w:szCs w:val="24"/>
        </w:rPr>
        <w:t>(2) 选择未排人员进行编排。</w:t>
      </w:r>
    </w:p>
    <w:p w14:paraId="5ACCD8DF">
      <w:pPr>
        <w:autoSpaceDE w:val="0"/>
        <w:autoSpaceDN w:val="0"/>
        <w:spacing w:before="260" w:line="320" w:lineRule="atLeast"/>
        <w:ind w:left="660"/>
        <w:rPr>
          <w:sz w:val="24"/>
          <w:szCs w:val="24"/>
        </w:rPr>
      </w:pPr>
      <w:r>
        <w:rPr>
          <w:rFonts w:ascii="宋体" w:hAnsi="宋体" w:eastAsia="宋体" w:cs="宋体"/>
          <w:color w:val="000000"/>
          <w:sz w:val="24"/>
          <w:szCs w:val="24"/>
        </w:rPr>
        <w:t>(3)编排完毕后点击编排页面右上角的编排按钮。</w:t>
      </w:r>
    </w:p>
    <w:p w14:paraId="4EA8B22B">
      <w:pPr>
        <w:autoSpaceDE w:val="0"/>
        <w:autoSpaceDN w:val="0"/>
        <w:spacing w:before="260" w:line="320" w:lineRule="atLeast"/>
        <w:ind w:left="660"/>
        <w:rPr>
          <w:sz w:val="24"/>
          <w:szCs w:val="24"/>
        </w:rPr>
      </w:pPr>
      <w:r>
        <w:rPr>
          <w:rFonts w:ascii="宋体" w:hAnsi="宋体" w:eastAsia="宋体" w:cs="宋体"/>
          <w:color w:val="000000"/>
          <w:sz w:val="24"/>
          <w:szCs w:val="24"/>
        </w:rPr>
        <w:t>(4) 在考生考试信息汇总里进行准考证生成。</w:t>
      </w:r>
    </w:p>
    <w:p w14:paraId="4F103AB2">
      <w:pPr>
        <w:autoSpaceDE w:val="0"/>
        <w:autoSpaceDN w:val="0"/>
        <w:spacing w:before="260" w:line="320" w:lineRule="atLeast"/>
        <w:ind w:left="660"/>
        <w:rPr>
          <w:sz w:val="24"/>
          <w:szCs w:val="24"/>
        </w:rPr>
      </w:pPr>
      <w:r>
        <w:rPr>
          <w:rFonts w:ascii="宋体" w:hAnsi="宋体" w:eastAsia="宋体" w:cs="宋体"/>
          <w:color w:val="000000"/>
          <w:sz w:val="24"/>
          <w:szCs w:val="24"/>
        </w:rPr>
        <w:t>(5) 结束任务。</w:t>
      </w:r>
    </w:p>
    <w:p w14:paraId="6D69F3F0">
      <w:pPr>
        <w:autoSpaceDE w:val="0"/>
        <w:autoSpaceDN w:val="0"/>
        <w:spacing w:before="240" w:line="300" w:lineRule="atLeast"/>
        <w:ind w:left="660"/>
        <w:rPr>
          <w:sz w:val="24"/>
          <w:szCs w:val="24"/>
        </w:rPr>
      </w:pPr>
      <w:r>
        <w:rPr>
          <w:rFonts w:ascii="宋体" w:hAnsi="宋体" w:eastAsia="宋体" w:cs="宋体"/>
          <w:color w:val="000000"/>
          <w:sz w:val="24"/>
          <w:szCs w:val="24"/>
        </w:rPr>
        <w:t>负责人：乔伟</w:t>
      </w:r>
    </w:p>
    <w:p w14:paraId="6E49DBB6">
      <w:pPr>
        <w:autoSpaceDE w:val="0"/>
        <w:autoSpaceDN w:val="0"/>
        <w:spacing w:before="260" w:line="320" w:lineRule="atLeast"/>
        <w:ind w:left="660"/>
        <w:rPr>
          <w:sz w:val="24"/>
          <w:szCs w:val="24"/>
        </w:rPr>
      </w:pPr>
      <w:r>
        <w:rPr>
          <w:rFonts w:ascii="宋体" w:hAnsi="宋体" w:eastAsia="宋体" w:cs="宋体"/>
          <w:color w:val="000000"/>
          <w:sz w:val="24"/>
          <w:szCs w:val="24"/>
        </w:rPr>
        <w:t>九、准考证打印发放</w:t>
      </w:r>
    </w:p>
    <w:p w14:paraId="727A03FD">
      <w:pPr>
        <w:autoSpaceDE w:val="0"/>
        <w:autoSpaceDN w:val="0"/>
        <w:spacing w:before="280" w:line="300" w:lineRule="atLeast"/>
        <w:ind w:left="660"/>
        <w:rPr>
          <w:sz w:val="24"/>
          <w:szCs w:val="24"/>
        </w:rPr>
      </w:pPr>
      <w:r>
        <w:rPr>
          <w:rFonts w:ascii="宋体" w:hAnsi="宋体" w:eastAsia="宋体" w:cs="宋体"/>
          <w:color w:val="000000"/>
          <w:sz w:val="24"/>
          <w:szCs w:val="24"/>
        </w:rPr>
        <w:t>1、在考生信息汇总里进行准考证生成后，确保信息无误后进行打印。</w:t>
      </w:r>
    </w:p>
    <w:p w14:paraId="1BC19B9C">
      <w:pPr>
        <w:autoSpaceDE w:val="0"/>
        <w:autoSpaceDN w:val="0"/>
        <w:spacing w:before="240" w:line="320" w:lineRule="atLeast"/>
        <w:ind w:left="660"/>
        <w:rPr>
          <w:sz w:val="24"/>
          <w:szCs w:val="24"/>
        </w:rPr>
      </w:pPr>
      <w:r>
        <w:rPr>
          <w:rFonts w:ascii="宋体" w:hAnsi="宋体" w:eastAsia="宋体" w:cs="宋体"/>
          <w:color w:val="000000"/>
          <w:sz w:val="24"/>
          <w:szCs w:val="24"/>
        </w:rPr>
        <w:t>负责人：乔伟</w:t>
      </w:r>
    </w:p>
    <w:p w14:paraId="63F30381">
      <w:pPr>
        <w:autoSpaceDE w:val="0"/>
        <w:autoSpaceDN w:val="0"/>
        <w:spacing w:before="280" w:line="300" w:lineRule="atLeast"/>
        <w:ind w:left="660"/>
        <w:rPr>
          <w:sz w:val="24"/>
          <w:szCs w:val="24"/>
        </w:rPr>
      </w:pPr>
      <w:r>
        <w:rPr>
          <w:rFonts w:ascii="宋体" w:hAnsi="宋体" w:eastAsia="宋体" w:cs="宋体"/>
          <w:color w:val="000000"/>
          <w:sz w:val="24"/>
          <w:szCs w:val="24"/>
        </w:rPr>
        <w:t>2、2024年</w:t>
      </w:r>
      <w:r>
        <w:rPr>
          <w:rFonts w:hint="eastAsia" w:ascii="宋体" w:hAnsi="宋体" w:eastAsia="宋体" w:cs="宋体"/>
          <w:color w:val="000000"/>
          <w:sz w:val="24"/>
          <w:szCs w:val="24"/>
          <w:lang w:val="en-US" w:eastAsia="zh-CN"/>
        </w:rPr>
        <w:t>12</w:t>
      </w:r>
      <w:r>
        <w:rPr>
          <w:rFonts w:ascii="宋体" w:hAnsi="宋体" w:eastAsia="宋体" w:cs="宋体"/>
          <w:color w:val="000000"/>
          <w:sz w:val="24"/>
          <w:szCs w:val="24"/>
        </w:rPr>
        <w:t>月</w:t>
      </w:r>
      <w:r>
        <w:rPr>
          <w:rFonts w:hint="eastAsia" w:ascii="宋体" w:hAnsi="宋体" w:eastAsia="宋体" w:cs="宋体"/>
          <w:color w:val="000000"/>
          <w:sz w:val="24"/>
          <w:szCs w:val="24"/>
          <w:lang w:val="en-US" w:eastAsia="zh-CN"/>
        </w:rPr>
        <w:t>23</w:t>
      </w:r>
      <w:r>
        <w:rPr>
          <w:rFonts w:ascii="宋体" w:hAnsi="宋体" w:eastAsia="宋体" w:cs="宋体"/>
          <w:color w:val="000000"/>
          <w:sz w:val="24"/>
          <w:szCs w:val="24"/>
        </w:rPr>
        <w:t>日-</w:t>
      </w:r>
      <w:r>
        <w:rPr>
          <w:rFonts w:hint="eastAsia" w:ascii="宋体" w:hAnsi="宋体" w:eastAsia="宋体" w:cs="宋体"/>
          <w:color w:val="000000"/>
          <w:sz w:val="24"/>
          <w:szCs w:val="24"/>
          <w:lang w:val="en-US" w:eastAsia="zh-CN"/>
        </w:rPr>
        <w:t>12</w:t>
      </w:r>
      <w:r>
        <w:rPr>
          <w:rFonts w:ascii="宋体" w:hAnsi="宋体" w:eastAsia="宋体" w:cs="宋体"/>
          <w:color w:val="000000"/>
          <w:sz w:val="24"/>
          <w:szCs w:val="24"/>
        </w:rPr>
        <w:t>月</w:t>
      </w:r>
      <w:r>
        <w:rPr>
          <w:rFonts w:hint="eastAsia" w:ascii="宋体" w:hAnsi="宋体" w:eastAsia="宋体" w:cs="宋体"/>
          <w:color w:val="000000"/>
          <w:sz w:val="24"/>
          <w:szCs w:val="24"/>
          <w:lang w:val="en-US" w:eastAsia="zh-CN"/>
        </w:rPr>
        <w:t>24</w:t>
      </w:r>
      <w:r>
        <w:rPr>
          <w:rFonts w:ascii="宋体" w:hAnsi="宋体" w:eastAsia="宋体" w:cs="宋体"/>
          <w:color w:val="000000"/>
          <w:sz w:val="24"/>
          <w:szCs w:val="24"/>
        </w:rPr>
        <w:t>日将准考证发放给学员。</w:t>
      </w:r>
    </w:p>
    <w:p w14:paraId="77767355">
      <w:pPr>
        <w:autoSpaceDE w:val="0"/>
        <w:autoSpaceDN w:val="0"/>
        <w:spacing w:before="240" w:line="320" w:lineRule="atLeast"/>
        <w:ind w:left="660"/>
        <w:rPr>
          <w:sz w:val="24"/>
          <w:szCs w:val="24"/>
        </w:rPr>
      </w:pPr>
      <w:r>
        <w:rPr>
          <w:rFonts w:ascii="宋体" w:hAnsi="宋体" w:eastAsia="宋体" w:cs="宋体"/>
          <w:color w:val="000000"/>
          <w:sz w:val="24"/>
          <w:szCs w:val="24"/>
        </w:rPr>
        <w:t>准考证发放负责人：郑金锋</w:t>
      </w:r>
    </w:p>
    <w:p w14:paraId="39881BBC">
      <w:pPr>
        <w:autoSpaceDE w:val="0"/>
        <w:autoSpaceDN w:val="0"/>
        <w:spacing w:before="20" w:line="560" w:lineRule="atLeast"/>
        <w:ind w:left="660"/>
        <w:rPr>
          <w:sz w:val="24"/>
          <w:szCs w:val="24"/>
        </w:rPr>
      </w:pPr>
      <w:r>
        <w:rPr>
          <w:rFonts w:ascii="宋体" w:hAnsi="宋体" w:eastAsia="宋体" w:cs="宋体"/>
          <w:color w:val="000000"/>
          <w:sz w:val="24"/>
          <w:szCs w:val="24"/>
        </w:rPr>
        <w:t>3、准考证发放时，要核对学员本人信息，并再次提醒考生考试当天需携带有效身份证件及准考证参加考试。</w:t>
      </w:r>
    </w:p>
    <w:p w14:paraId="0533CD7E">
      <w:pPr>
        <w:autoSpaceDE w:val="0"/>
        <w:autoSpaceDN w:val="0"/>
        <w:spacing w:before="20" w:line="560" w:lineRule="atLeast"/>
        <w:ind w:left="660"/>
        <w:rPr>
          <w:sz w:val="24"/>
          <w:szCs w:val="24"/>
        </w:rPr>
      </w:pPr>
      <w:r>
        <w:rPr>
          <w:rFonts w:ascii="宋体" w:hAnsi="宋体" w:eastAsia="宋体" w:cs="宋体"/>
          <w:color w:val="000000"/>
          <w:sz w:val="24"/>
          <w:szCs w:val="24"/>
        </w:rPr>
        <w:t>十、系统中维护考评员、督导员信息并安排考评员、督导员</w:t>
      </w:r>
    </w:p>
    <w:p w14:paraId="293B9A06">
      <w:pPr>
        <w:autoSpaceDE w:val="0"/>
        <w:autoSpaceDN w:val="0"/>
        <w:spacing w:before="220" w:line="300" w:lineRule="atLeast"/>
        <w:ind w:left="260" w:firstLine="480" w:firstLineChars="200"/>
        <w:rPr>
          <w:rFonts w:ascii="宋体" w:hAnsi="宋体" w:eastAsia="宋体" w:cs="宋体"/>
          <w:color w:val="000000"/>
          <w:sz w:val="24"/>
          <w:szCs w:val="24"/>
        </w:rPr>
      </w:pPr>
      <w:r>
        <w:rPr>
          <w:rFonts w:ascii="宋体" w:hAnsi="宋体" w:eastAsia="宋体" w:cs="宋体"/>
          <w:color w:val="000000"/>
          <w:sz w:val="24"/>
          <w:szCs w:val="24"/>
        </w:rPr>
        <w:t>1、在业务办理中输入考评员基本信息点击保存。</w:t>
      </w:r>
    </w:p>
    <w:tbl>
      <w:tblPr>
        <w:tblStyle w:val="5"/>
        <w:tblpPr w:leftFromText="180" w:rightFromText="180" w:vertAnchor="text" w:horzAnchor="page" w:tblpX="303" w:tblpY="253"/>
        <w:tblOverlap w:val="never"/>
        <w:tblW w:w="11452" w:type="dxa"/>
        <w:tblInd w:w="0" w:type="dxa"/>
        <w:tblLayout w:type="fixed"/>
        <w:tblCellMar>
          <w:top w:w="0" w:type="dxa"/>
          <w:left w:w="108" w:type="dxa"/>
          <w:bottom w:w="0" w:type="dxa"/>
          <w:right w:w="108" w:type="dxa"/>
        </w:tblCellMar>
      </w:tblPr>
      <w:tblGrid>
        <w:gridCol w:w="685"/>
        <w:gridCol w:w="1678"/>
        <w:gridCol w:w="497"/>
        <w:gridCol w:w="496"/>
        <w:gridCol w:w="657"/>
        <w:gridCol w:w="843"/>
        <w:gridCol w:w="854"/>
        <w:gridCol w:w="609"/>
        <w:gridCol w:w="1566"/>
        <w:gridCol w:w="1143"/>
        <w:gridCol w:w="778"/>
        <w:gridCol w:w="1646"/>
      </w:tblGrid>
      <w:tr w14:paraId="03F5EF30">
        <w:tblPrEx>
          <w:tblCellMar>
            <w:top w:w="0" w:type="dxa"/>
            <w:left w:w="108" w:type="dxa"/>
            <w:bottom w:w="0" w:type="dxa"/>
            <w:right w:w="108" w:type="dxa"/>
          </w:tblCellMar>
        </w:tblPrEx>
        <w:trPr>
          <w:trHeight w:val="510" w:hRule="atLeast"/>
        </w:trPr>
        <w:tc>
          <w:tcPr>
            <w:tcW w:w="685" w:type="dxa"/>
            <w:tcBorders>
              <w:top w:val="single" w:color="auto" w:sz="4" w:space="0"/>
              <w:left w:val="single" w:color="auto" w:sz="4" w:space="0"/>
              <w:bottom w:val="single" w:color="auto" w:sz="4" w:space="0"/>
              <w:right w:val="single" w:color="auto" w:sz="4" w:space="0"/>
            </w:tcBorders>
            <w:shd w:val="clear" w:color="auto" w:fill="auto"/>
            <w:vAlign w:val="center"/>
          </w:tcPr>
          <w:p w14:paraId="794FD5B2">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姓名     </w:t>
            </w:r>
          </w:p>
        </w:tc>
        <w:tc>
          <w:tcPr>
            <w:tcW w:w="1678" w:type="dxa"/>
            <w:tcBorders>
              <w:top w:val="single" w:color="auto" w:sz="4" w:space="0"/>
              <w:left w:val="nil"/>
              <w:bottom w:val="single" w:color="auto" w:sz="4" w:space="0"/>
              <w:right w:val="single" w:color="auto" w:sz="4" w:space="0"/>
            </w:tcBorders>
            <w:shd w:val="clear" w:color="auto" w:fill="auto"/>
            <w:vAlign w:val="bottom"/>
          </w:tcPr>
          <w:p w14:paraId="4542822A">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证件号码</w:t>
            </w:r>
          </w:p>
        </w:tc>
        <w:tc>
          <w:tcPr>
            <w:tcW w:w="497" w:type="dxa"/>
            <w:tcBorders>
              <w:top w:val="single" w:color="auto" w:sz="4" w:space="0"/>
              <w:left w:val="nil"/>
              <w:bottom w:val="single" w:color="auto" w:sz="4" w:space="0"/>
              <w:right w:val="single" w:color="auto" w:sz="4" w:space="0"/>
            </w:tcBorders>
            <w:shd w:val="clear" w:color="auto" w:fill="auto"/>
            <w:vAlign w:val="bottom"/>
          </w:tcPr>
          <w:p w14:paraId="63B71EA1">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性别 </w:t>
            </w:r>
          </w:p>
        </w:tc>
        <w:tc>
          <w:tcPr>
            <w:tcW w:w="496" w:type="dxa"/>
            <w:tcBorders>
              <w:top w:val="single" w:color="auto" w:sz="4" w:space="0"/>
              <w:left w:val="nil"/>
              <w:bottom w:val="single" w:color="auto" w:sz="4" w:space="0"/>
              <w:right w:val="single" w:color="auto" w:sz="4" w:space="0"/>
            </w:tcBorders>
            <w:shd w:val="clear" w:color="auto" w:fill="auto"/>
            <w:vAlign w:val="bottom"/>
          </w:tcPr>
          <w:p w14:paraId="0D8DEC38">
            <w:pPr>
              <w:widowControl/>
              <w:jc w:val="left"/>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民族    </w:t>
            </w:r>
          </w:p>
        </w:tc>
        <w:tc>
          <w:tcPr>
            <w:tcW w:w="657" w:type="dxa"/>
            <w:tcBorders>
              <w:top w:val="single" w:color="auto" w:sz="4" w:space="0"/>
              <w:left w:val="nil"/>
              <w:bottom w:val="single" w:color="auto" w:sz="4" w:space="0"/>
              <w:right w:val="single" w:color="auto" w:sz="4" w:space="0"/>
            </w:tcBorders>
            <w:shd w:val="clear" w:color="auto" w:fill="auto"/>
            <w:vAlign w:val="bottom"/>
          </w:tcPr>
          <w:p w14:paraId="11B35ADC">
            <w:pPr>
              <w:widowControl/>
              <w:jc w:val="left"/>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学历    </w:t>
            </w:r>
          </w:p>
        </w:tc>
        <w:tc>
          <w:tcPr>
            <w:tcW w:w="843" w:type="dxa"/>
            <w:tcBorders>
              <w:top w:val="single" w:color="auto" w:sz="4" w:space="0"/>
              <w:left w:val="nil"/>
              <w:bottom w:val="single" w:color="auto" w:sz="4" w:space="0"/>
              <w:right w:val="single" w:color="auto" w:sz="4" w:space="0"/>
            </w:tcBorders>
            <w:shd w:val="clear" w:color="auto" w:fill="auto"/>
            <w:vAlign w:val="bottom"/>
          </w:tcPr>
          <w:p w14:paraId="6F9DFF07">
            <w:pPr>
              <w:widowControl/>
              <w:jc w:val="left"/>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出生日期  </w:t>
            </w:r>
          </w:p>
        </w:tc>
        <w:tc>
          <w:tcPr>
            <w:tcW w:w="854" w:type="dxa"/>
            <w:tcBorders>
              <w:top w:val="single" w:color="auto" w:sz="4" w:space="0"/>
              <w:left w:val="nil"/>
              <w:bottom w:val="single" w:color="auto" w:sz="4" w:space="0"/>
              <w:right w:val="single" w:color="auto" w:sz="4" w:space="0"/>
            </w:tcBorders>
            <w:shd w:val="clear" w:color="auto" w:fill="auto"/>
            <w:vAlign w:val="bottom"/>
          </w:tcPr>
          <w:p w14:paraId="4BD77643">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参加工作日期</w:t>
            </w:r>
          </w:p>
        </w:tc>
        <w:tc>
          <w:tcPr>
            <w:tcW w:w="609" w:type="dxa"/>
            <w:tcBorders>
              <w:top w:val="single" w:color="auto" w:sz="4" w:space="0"/>
              <w:left w:val="nil"/>
              <w:bottom w:val="single" w:color="auto" w:sz="4" w:space="0"/>
              <w:right w:val="single" w:color="auto" w:sz="4" w:space="0"/>
            </w:tcBorders>
            <w:shd w:val="clear" w:color="auto" w:fill="auto"/>
            <w:vAlign w:val="bottom"/>
          </w:tcPr>
          <w:p w14:paraId="0C907967">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工作年限</w:t>
            </w:r>
          </w:p>
        </w:tc>
        <w:tc>
          <w:tcPr>
            <w:tcW w:w="1566" w:type="dxa"/>
            <w:tcBorders>
              <w:top w:val="single" w:color="auto" w:sz="4" w:space="0"/>
              <w:left w:val="nil"/>
              <w:bottom w:val="single" w:color="auto" w:sz="4" w:space="0"/>
              <w:right w:val="single" w:color="auto" w:sz="4" w:space="0"/>
            </w:tcBorders>
            <w:shd w:val="clear" w:color="auto" w:fill="auto"/>
            <w:vAlign w:val="bottom"/>
          </w:tcPr>
          <w:p w14:paraId="0FA5600C">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  邮箱 </w:t>
            </w:r>
          </w:p>
        </w:tc>
        <w:tc>
          <w:tcPr>
            <w:tcW w:w="1143" w:type="dxa"/>
            <w:tcBorders>
              <w:top w:val="single" w:color="auto" w:sz="4" w:space="0"/>
              <w:left w:val="nil"/>
              <w:bottom w:val="single" w:color="auto" w:sz="4" w:space="0"/>
              <w:right w:val="single" w:color="auto" w:sz="4" w:space="0"/>
            </w:tcBorders>
            <w:shd w:val="clear" w:color="auto" w:fill="auto"/>
            <w:vAlign w:val="bottom"/>
          </w:tcPr>
          <w:p w14:paraId="71B618F2">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联系电话</w:t>
            </w:r>
          </w:p>
        </w:tc>
        <w:tc>
          <w:tcPr>
            <w:tcW w:w="778" w:type="dxa"/>
            <w:tcBorders>
              <w:top w:val="single" w:color="auto" w:sz="4" w:space="0"/>
              <w:left w:val="nil"/>
              <w:bottom w:val="single" w:color="auto" w:sz="4" w:space="0"/>
              <w:right w:val="single" w:color="auto" w:sz="4" w:space="0"/>
            </w:tcBorders>
            <w:shd w:val="clear" w:color="auto" w:fill="auto"/>
            <w:vAlign w:val="bottom"/>
          </w:tcPr>
          <w:p w14:paraId="60F81CA5">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 是否上传照片  </w:t>
            </w:r>
          </w:p>
        </w:tc>
        <w:tc>
          <w:tcPr>
            <w:tcW w:w="1646" w:type="dxa"/>
            <w:tcBorders>
              <w:top w:val="single" w:color="auto" w:sz="4" w:space="0"/>
              <w:left w:val="nil"/>
              <w:bottom w:val="single" w:color="auto" w:sz="4" w:space="0"/>
              <w:right w:val="single" w:color="auto" w:sz="4" w:space="0"/>
            </w:tcBorders>
            <w:shd w:val="clear" w:color="auto" w:fill="auto"/>
            <w:vAlign w:val="bottom"/>
          </w:tcPr>
          <w:p w14:paraId="1632AC02">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所属坚定机构</w:t>
            </w:r>
          </w:p>
        </w:tc>
      </w:tr>
      <w:tr w14:paraId="3B7389A6">
        <w:tblPrEx>
          <w:tblCellMar>
            <w:top w:w="0" w:type="dxa"/>
            <w:left w:w="108" w:type="dxa"/>
            <w:bottom w:w="0" w:type="dxa"/>
            <w:right w:w="108" w:type="dxa"/>
          </w:tblCellMar>
        </w:tblPrEx>
        <w:trPr>
          <w:trHeight w:val="375" w:hRule="atLeast"/>
        </w:trPr>
        <w:tc>
          <w:tcPr>
            <w:tcW w:w="685" w:type="dxa"/>
            <w:tcBorders>
              <w:top w:val="nil"/>
              <w:left w:val="single" w:color="auto" w:sz="4" w:space="0"/>
              <w:bottom w:val="single" w:color="auto" w:sz="4" w:space="0"/>
              <w:right w:val="single" w:color="auto" w:sz="4" w:space="0"/>
            </w:tcBorders>
            <w:shd w:val="clear" w:color="auto" w:fill="auto"/>
            <w:noWrap/>
            <w:vAlign w:val="center"/>
          </w:tcPr>
          <w:p w14:paraId="6F434360">
            <w:pPr>
              <w:jc w:val="left"/>
              <w:rPr>
                <w:rFonts w:cs="宋体" w:asciiTheme="minorEastAsia" w:hAnsiTheme="minorEastAsia"/>
                <w:color w:val="000000"/>
                <w:sz w:val="15"/>
                <w:szCs w:val="16"/>
              </w:rPr>
            </w:pPr>
            <w:r>
              <w:rPr>
                <w:rFonts w:hint="eastAsia" w:asciiTheme="minorEastAsia" w:hAnsiTheme="minorEastAsia"/>
                <w:color w:val="000000"/>
                <w:sz w:val="15"/>
                <w:szCs w:val="16"/>
              </w:rPr>
              <w:t>刘冰</w:t>
            </w:r>
          </w:p>
        </w:tc>
        <w:tc>
          <w:tcPr>
            <w:tcW w:w="1678" w:type="dxa"/>
            <w:tcBorders>
              <w:top w:val="nil"/>
              <w:left w:val="nil"/>
              <w:bottom w:val="single" w:color="auto" w:sz="4" w:space="0"/>
              <w:right w:val="single" w:color="auto" w:sz="4" w:space="0"/>
            </w:tcBorders>
            <w:shd w:val="clear" w:color="auto" w:fill="auto"/>
            <w:noWrap/>
            <w:vAlign w:val="center"/>
          </w:tcPr>
          <w:p w14:paraId="7DBC0816">
            <w:pPr>
              <w:jc w:val="center"/>
              <w:rPr>
                <w:rFonts w:cs="宋体" w:asciiTheme="minorEastAsia" w:hAnsiTheme="minorEastAsia"/>
                <w:color w:val="000000"/>
                <w:sz w:val="15"/>
                <w:szCs w:val="16"/>
              </w:rPr>
            </w:pPr>
            <w:r>
              <w:rPr>
                <w:rFonts w:hint="eastAsia" w:asciiTheme="minorEastAsia" w:hAnsiTheme="minorEastAsia"/>
                <w:color w:val="000000"/>
                <w:sz w:val="15"/>
                <w:szCs w:val="16"/>
              </w:rPr>
              <w:t>370902197404151823</w:t>
            </w:r>
          </w:p>
        </w:tc>
        <w:tc>
          <w:tcPr>
            <w:tcW w:w="497" w:type="dxa"/>
            <w:tcBorders>
              <w:top w:val="nil"/>
              <w:left w:val="nil"/>
              <w:bottom w:val="single" w:color="auto" w:sz="4" w:space="0"/>
              <w:right w:val="single" w:color="auto" w:sz="4" w:space="0"/>
            </w:tcBorders>
            <w:shd w:val="clear" w:color="auto" w:fill="auto"/>
            <w:noWrap/>
            <w:vAlign w:val="center"/>
          </w:tcPr>
          <w:p w14:paraId="6558A31D">
            <w:pPr>
              <w:jc w:val="center"/>
              <w:rPr>
                <w:rFonts w:cs="宋体" w:asciiTheme="minorEastAsia" w:hAnsiTheme="minorEastAsia"/>
                <w:color w:val="000000"/>
                <w:sz w:val="15"/>
                <w:szCs w:val="16"/>
              </w:rPr>
            </w:pPr>
            <w:r>
              <w:rPr>
                <w:rFonts w:hint="eastAsia" w:asciiTheme="minorEastAsia" w:hAnsiTheme="minorEastAsia"/>
                <w:color w:val="000000"/>
                <w:sz w:val="15"/>
                <w:szCs w:val="16"/>
              </w:rPr>
              <w:t>女</w:t>
            </w:r>
          </w:p>
        </w:tc>
        <w:tc>
          <w:tcPr>
            <w:tcW w:w="496" w:type="dxa"/>
            <w:tcBorders>
              <w:top w:val="nil"/>
              <w:left w:val="nil"/>
              <w:bottom w:val="single" w:color="auto" w:sz="4" w:space="0"/>
              <w:right w:val="single" w:color="auto" w:sz="4" w:space="0"/>
            </w:tcBorders>
            <w:shd w:val="clear" w:color="auto" w:fill="auto"/>
            <w:noWrap/>
            <w:vAlign w:val="bottom"/>
          </w:tcPr>
          <w:p w14:paraId="704F2B3E">
            <w:pPr>
              <w:widowControl/>
              <w:jc w:val="center"/>
              <w:rPr>
                <w:rFonts w:cs="宋体" w:asciiTheme="minorEastAsia" w:hAnsiTheme="minorEastAsia"/>
                <w:color w:val="000000"/>
                <w:kern w:val="0"/>
                <w:sz w:val="15"/>
                <w:szCs w:val="16"/>
              </w:rPr>
            </w:pPr>
            <w:r>
              <w:rPr>
                <w:rFonts w:hint="eastAsia" w:cs="宋体" w:asciiTheme="minorEastAsia" w:hAnsiTheme="minorEastAsia"/>
                <w:color w:val="000000"/>
                <w:kern w:val="0"/>
                <w:sz w:val="15"/>
                <w:szCs w:val="16"/>
              </w:rPr>
              <w:t>汉</w:t>
            </w:r>
          </w:p>
        </w:tc>
        <w:tc>
          <w:tcPr>
            <w:tcW w:w="657" w:type="dxa"/>
            <w:tcBorders>
              <w:top w:val="nil"/>
              <w:left w:val="nil"/>
              <w:bottom w:val="single" w:color="auto" w:sz="4" w:space="0"/>
              <w:right w:val="single" w:color="auto" w:sz="4" w:space="0"/>
            </w:tcBorders>
            <w:shd w:val="clear" w:color="auto" w:fill="auto"/>
            <w:vAlign w:val="center"/>
          </w:tcPr>
          <w:p w14:paraId="6C0485A1">
            <w:pPr>
              <w:jc w:val="center"/>
              <w:rPr>
                <w:rFonts w:cs="宋体" w:asciiTheme="minorEastAsia" w:hAnsiTheme="minorEastAsia"/>
                <w:color w:val="000000"/>
                <w:sz w:val="15"/>
                <w:szCs w:val="16"/>
              </w:rPr>
            </w:pPr>
            <w:r>
              <w:rPr>
                <w:rFonts w:hint="eastAsia" w:asciiTheme="minorEastAsia" w:hAnsiTheme="minorEastAsia"/>
                <w:color w:val="000000"/>
                <w:sz w:val="15"/>
                <w:szCs w:val="16"/>
              </w:rPr>
              <w:t>本科</w:t>
            </w:r>
          </w:p>
        </w:tc>
        <w:tc>
          <w:tcPr>
            <w:tcW w:w="843" w:type="dxa"/>
            <w:tcBorders>
              <w:top w:val="nil"/>
              <w:left w:val="nil"/>
              <w:bottom w:val="single" w:color="auto" w:sz="4" w:space="0"/>
              <w:right w:val="single" w:color="auto" w:sz="4" w:space="0"/>
            </w:tcBorders>
            <w:shd w:val="clear" w:color="auto" w:fill="auto"/>
            <w:noWrap/>
            <w:vAlign w:val="bottom"/>
          </w:tcPr>
          <w:p w14:paraId="45156ADB">
            <w:pPr>
              <w:widowControl/>
              <w:jc w:val="center"/>
              <w:rPr>
                <w:rFonts w:cs="宋体" w:asciiTheme="minorEastAsia" w:hAnsiTheme="minorEastAsia"/>
                <w:color w:val="000000"/>
                <w:kern w:val="0"/>
                <w:sz w:val="15"/>
                <w:szCs w:val="16"/>
              </w:rPr>
            </w:pPr>
            <w:r>
              <w:rPr>
                <w:rFonts w:hint="eastAsia" w:cs="宋体" w:asciiTheme="minorEastAsia" w:hAnsiTheme="minorEastAsia"/>
                <w:color w:val="000000"/>
                <w:kern w:val="0"/>
                <w:sz w:val="15"/>
                <w:szCs w:val="16"/>
              </w:rPr>
              <w:t>19740415</w:t>
            </w:r>
          </w:p>
        </w:tc>
        <w:tc>
          <w:tcPr>
            <w:tcW w:w="854" w:type="dxa"/>
            <w:tcBorders>
              <w:top w:val="nil"/>
              <w:left w:val="nil"/>
              <w:bottom w:val="single" w:color="auto" w:sz="4" w:space="0"/>
              <w:right w:val="single" w:color="auto" w:sz="4" w:space="0"/>
            </w:tcBorders>
            <w:shd w:val="clear" w:color="auto" w:fill="auto"/>
            <w:noWrap/>
            <w:vAlign w:val="center"/>
          </w:tcPr>
          <w:p w14:paraId="03309487">
            <w:pPr>
              <w:jc w:val="center"/>
              <w:rPr>
                <w:rFonts w:cs="宋体" w:asciiTheme="minorEastAsia" w:hAnsiTheme="minorEastAsia"/>
                <w:color w:val="000000"/>
                <w:sz w:val="15"/>
                <w:szCs w:val="16"/>
              </w:rPr>
            </w:pPr>
            <w:r>
              <w:rPr>
                <w:rFonts w:hint="eastAsia" w:asciiTheme="minorEastAsia" w:hAnsiTheme="minorEastAsia"/>
                <w:color w:val="000000"/>
                <w:sz w:val="15"/>
                <w:szCs w:val="16"/>
              </w:rPr>
              <w:t>2001.07</w:t>
            </w:r>
          </w:p>
        </w:tc>
        <w:tc>
          <w:tcPr>
            <w:tcW w:w="609" w:type="dxa"/>
            <w:tcBorders>
              <w:top w:val="nil"/>
              <w:left w:val="nil"/>
              <w:bottom w:val="single" w:color="auto" w:sz="4" w:space="0"/>
              <w:right w:val="single" w:color="auto" w:sz="4" w:space="0"/>
            </w:tcBorders>
            <w:shd w:val="clear" w:color="auto" w:fill="auto"/>
            <w:noWrap/>
            <w:vAlign w:val="center"/>
          </w:tcPr>
          <w:p w14:paraId="323C261B">
            <w:pPr>
              <w:jc w:val="center"/>
              <w:rPr>
                <w:rFonts w:cs="宋体" w:asciiTheme="minorEastAsia" w:hAnsiTheme="minorEastAsia"/>
                <w:color w:val="000000"/>
                <w:sz w:val="15"/>
                <w:szCs w:val="16"/>
              </w:rPr>
            </w:pPr>
            <w:r>
              <w:rPr>
                <w:rFonts w:hint="eastAsia" w:asciiTheme="minorEastAsia" w:hAnsiTheme="minorEastAsia"/>
                <w:color w:val="000000"/>
                <w:sz w:val="15"/>
                <w:szCs w:val="16"/>
              </w:rPr>
              <w:t>30</w:t>
            </w:r>
          </w:p>
        </w:tc>
        <w:tc>
          <w:tcPr>
            <w:tcW w:w="1566" w:type="dxa"/>
            <w:tcBorders>
              <w:top w:val="nil"/>
              <w:left w:val="nil"/>
              <w:bottom w:val="single" w:color="auto" w:sz="4" w:space="0"/>
              <w:right w:val="single" w:color="auto" w:sz="4" w:space="0"/>
            </w:tcBorders>
            <w:shd w:val="clear" w:color="auto" w:fill="auto"/>
            <w:noWrap/>
            <w:vAlign w:val="bottom"/>
          </w:tcPr>
          <w:p w14:paraId="45976724">
            <w:pPr>
              <w:widowControl/>
              <w:jc w:val="center"/>
              <w:rPr>
                <w:rFonts w:cs="宋体" w:asciiTheme="minorEastAsia" w:hAnsiTheme="minorEastAsia"/>
                <w:color w:val="0000FF"/>
                <w:kern w:val="0"/>
                <w:sz w:val="15"/>
                <w:szCs w:val="16"/>
                <w:u w:val="single"/>
              </w:rPr>
            </w:pPr>
            <w:r>
              <w:fldChar w:fldCharType="begin"/>
            </w:r>
            <w:r>
              <w:instrText xml:space="preserve"> HYPERLINK "mailto:prxh2008@126.com" </w:instrText>
            </w:r>
            <w:r>
              <w:fldChar w:fldCharType="separate"/>
            </w:r>
            <w:r>
              <w:rPr>
                <w:rFonts w:hint="eastAsia" w:cs="宋体" w:asciiTheme="minorEastAsia" w:hAnsiTheme="minorEastAsia"/>
                <w:color w:val="0000FF"/>
                <w:kern w:val="0"/>
                <w:sz w:val="15"/>
                <w:szCs w:val="16"/>
                <w:u w:val="single"/>
              </w:rPr>
              <w:t>prxh2008@126.com</w:t>
            </w:r>
            <w:r>
              <w:rPr>
                <w:rFonts w:hint="eastAsia" w:cs="宋体" w:asciiTheme="minorEastAsia" w:hAnsiTheme="minorEastAsia"/>
                <w:color w:val="0000FF"/>
                <w:kern w:val="0"/>
                <w:sz w:val="15"/>
                <w:szCs w:val="16"/>
                <w:u w:val="single"/>
              </w:rPr>
              <w:fldChar w:fldCharType="end"/>
            </w:r>
          </w:p>
        </w:tc>
        <w:tc>
          <w:tcPr>
            <w:tcW w:w="1143" w:type="dxa"/>
            <w:tcBorders>
              <w:top w:val="nil"/>
              <w:left w:val="nil"/>
              <w:bottom w:val="single" w:color="auto" w:sz="4" w:space="0"/>
              <w:right w:val="single" w:color="auto" w:sz="4" w:space="0"/>
            </w:tcBorders>
            <w:shd w:val="clear" w:color="auto" w:fill="auto"/>
            <w:noWrap/>
            <w:vAlign w:val="center"/>
          </w:tcPr>
          <w:p w14:paraId="4572515F">
            <w:pPr>
              <w:jc w:val="center"/>
              <w:rPr>
                <w:rFonts w:cs="宋体" w:asciiTheme="minorEastAsia" w:hAnsiTheme="minorEastAsia"/>
                <w:color w:val="000000"/>
                <w:sz w:val="15"/>
                <w:szCs w:val="16"/>
              </w:rPr>
            </w:pPr>
            <w:r>
              <w:rPr>
                <w:rFonts w:hint="eastAsia" w:asciiTheme="minorEastAsia" w:hAnsiTheme="minorEastAsia"/>
                <w:color w:val="000000"/>
                <w:sz w:val="15"/>
                <w:szCs w:val="16"/>
              </w:rPr>
              <w:t>13675386616</w:t>
            </w:r>
          </w:p>
        </w:tc>
        <w:tc>
          <w:tcPr>
            <w:tcW w:w="778" w:type="dxa"/>
            <w:tcBorders>
              <w:top w:val="nil"/>
              <w:left w:val="nil"/>
              <w:bottom w:val="single" w:color="auto" w:sz="4" w:space="0"/>
              <w:right w:val="single" w:color="auto" w:sz="4" w:space="0"/>
            </w:tcBorders>
            <w:shd w:val="clear" w:color="auto" w:fill="auto"/>
            <w:noWrap/>
            <w:vAlign w:val="bottom"/>
          </w:tcPr>
          <w:p w14:paraId="6233BDBD">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已上传</w:t>
            </w:r>
          </w:p>
        </w:tc>
        <w:tc>
          <w:tcPr>
            <w:tcW w:w="1646" w:type="dxa"/>
            <w:tcBorders>
              <w:top w:val="nil"/>
              <w:left w:val="nil"/>
              <w:bottom w:val="single" w:color="auto" w:sz="4" w:space="0"/>
              <w:right w:val="single" w:color="auto" w:sz="4" w:space="0"/>
            </w:tcBorders>
            <w:shd w:val="clear" w:color="auto" w:fill="auto"/>
            <w:noWrap/>
            <w:vAlign w:val="bottom"/>
          </w:tcPr>
          <w:p w14:paraId="0D064DBA">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泰安市饭店烹饪协会</w:t>
            </w:r>
          </w:p>
        </w:tc>
      </w:tr>
      <w:tr w14:paraId="0DEE3876">
        <w:tblPrEx>
          <w:tblCellMar>
            <w:top w:w="0" w:type="dxa"/>
            <w:left w:w="108" w:type="dxa"/>
            <w:bottom w:w="0" w:type="dxa"/>
            <w:right w:w="108" w:type="dxa"/>
          </w:tblCellMar>
        </w:tblPrEx>
        <w:trPr>
          <w:trHeight w:val="375" w:hRule="atLeast"/>
        </w:trPr>
        <w:tc>
          <w:tcPr>
            <w:tcW w:w="685" w:type="dxa"/>
            <w:tcBorders>
              <w:top w:val="nil"/>
              <w:left w:val="single" w:color="auto" w:sz="4" w:space="0"/>
              <w:bottom w:val="single" w:color="auto" w:sz="4" w:space="0"/>
              <w:right w:val="single" w:color="auto" w:sz="4" w:space="0"/>
            </w:tcBorders>
            <w:shd w:val="clear" w:color="000000" w:fill="FFFFFF"/>
            <w:noWrap/>
            <w:vAlign w:val="center"/>
          </w:tcPr>
          <w:p w14:paraId="43E2F54D">
            <w:pPr>
              <w:jc w:val="left"/>
              <w:rPr>
                <w:rFonts w:cs="宋体" w:asciiTheme="minorEastAsia" w:hAnsiTheme="minorEastAsia"/>
                <w:color w:val="000000"/>
                <w:sz w:val="15"/>
                <w:szCs w:val="16"/>
              </w:rPr>
            </w:pPr>
            <w:r>
              <w:rPr>
                <w:rFonts w:hint="eastAsia" w:asciiTheme="minorEastAsia" w:hAnsiTheme="minorEastAsia"/>
                <w:color w:val="000000"/>
                <w:sz w:val="15"/>
                <w:szCs w:val="16"/>
              </w:rPr>
              <w:t>公晓旭</w:t>
            </w:r>
          </w:p>
        </w:tc>
        <w:tc>
          <w:tcPr>
            <w:tcW w:w="1678" w:type="dxa"/>
            <w:tcBorders>
              <w:top w:val="nil"/>
              <w:left w:val="nil"/>
              <w:bottom w:val="single" w:color="auto" w:sz="4" w:space="0"/>
              <w:right w:val="single" w:color="auto" w:sz="4" w:space="0"/>
            </w:tcBorders>
            <w:shd w:val="clear" w:color="auto" w:fill="auto"/>
            <w:noWrap/>
            <w:vAlign w:val="center"/>
          </w:tcPr>
          <w:p w14:paraId="6681362D">
            <w:pPr>
              <w:jc w:val="center"/>
              <w:rPr>
                <w:rFonts w:cs="宋体" w:asciiTheme="minorEastAsia" w:hAnsiTheme="minorEastAsia"/>
                <w:color w:val="000000"/>
                <w:sz w:val="15"/>
                <w:szCs w:val="16"/>
              </w:rPr>
            </w:pPr>
            <w:r>
              <w:rPr>
                <w:rFonts w:hint="eastAsia" w:asciiTheme="minorEastAsia" w:hAnsiTheme="minorEastAsia"/>
                <w:color w:val="000000"/>
                <w:sz w:val="15"/>
                <w:szCs w:val="16"/>
              </w:rPr>
              <w:t>370911198412081694</w:t>
            </w:r>
          </w:p>
        </w:tc>
        <w:tc>
          <w:tcPr>
            <w:tcW w:w="497" w:type="dxa"/>
            <w:tcBorders>
              <w:top w:val="nil"/>
              <w:left w:val="nil"/>
              <w:bottom w:val="single" w:color="auto" w:sz="4" w:space="0"/>
              <w:right w:val="single" w:color="auto" w:sz="4" w:space="0"/>
            </w:tcBorders>
            <w:shd w:val="clear" w:color="auto" w:fill="auto"/>
            <w:noWrap/>
            <w:vAlign w:val="center"/>
          </w:tcPr>
          <w:p w14:paraId="56351003">
            <w:pPr>
              <w:jc w:val="center"/>
              <w:rPr>
                <w:rFonts w:cs="宋体" w:asciiTheme="minorEastAsia" w:hAnsiTheme="minorEastAsia"/>
                <w:color w:val="000000"/>
                <w:sz w:val="15"/>
                <w:szCs w:val="16"/>
              </w:rPr>
            </w:pPr>
            <w:r>
              <w:rPr>
                <w:rFonts w:hint="eastAsia" w:asciiTheme="minorEastAsia" w:hAnsiTheme="minorEastAsia"/>
                <w:color w:val="000000"/>
                <w:sz w:val="15"/>
                <w:szCs w:val="16"/>
              </w:rPr>
              <w:t>男</w:t>
            </w:r>
          </w:p>
        </w:tc>
        <w:tc>
          <w:tcPr>
            <w:tcW w:w="496" w:type="dxa"/>
            <w:tcBorders>
              <w:top w:val="nil"/>
              <w:left w:val="nil"/>
              <w:bottom w:val="single" w:color="auto" w:sz="4" w:space="0"/>
              <w:right w:val="single" w:color="auto" w:sz="4" w:space="0"/>
            </w:tcBorders>
            <w:shd w:val="clear" w:color="auto" w:fill="auto"/>
            <w:noWrap/>
            <w:vAlign w:val="bottom"/>
          </w:tcPr>
          <w:p w14:paraId="0599EA69">
            <w:pPr>
              <w:widowControl/>
              <w:jc w:val="center"/>
              <w:rPr>
                <w:rFonts w:cs="宋体" w:asciiTheme="minorEastAsia" w:hAnsiTheme="minorEastAsia"/>
                <w:color w:val="000000"/>
                <w:kern w:val="0"/>
                <w:sz w:val="15"/>
                <w:szCs w:val="16"/>
              </w:rPr>
            </w:pPr>
            <w:r>
              <w:rPr>
                <w:rFonts w:hint="eastAsia" w:cs="宋体" w:asciiTheme="minorEastAsia" w:hAnsiTheme="minorEastAsia"/>
                <w:color w:val="000000"/>
                <w:kern w:val="0"/>
                <w:sz w:val="15"/>
                <w:szCs w:val="16"/>
              </w:rPr>
              <w:t>汉</w:t>
            </w:r>
          </w:p>
        </w:tc>
        <w:tc>
          <w:tcPr>
            <w:tcW w:w="657" w:type="dxa"/>
            <w:tcBorders>
              <w:top w:val="nil"/>
              <w:left w:val="nil"/>
              <w:bottom w:val="single" w:color="auto" w:sz="4" w:space="0"/>
              <w:right w:val="single" w:color="auto" w:sz="4" w:space="0"/>
            </w:tcBorders>
            <w:shd w:val="clear" w:color="auto" w:fill="auto"/>
            <w:noWrap/>
            <w:vAlign w:val="center"/>
          </w:tcPr>
          <w:p w14:paraId="69F33523">
            <w:pPr>
              <w:jc w:val="center"/>
              <w:rPr>
                <w:rFonts w:cs="宋体" w:asciiTheme="minorEastAsia" w:hAnsiTheme="minorEastAsia"/>
                <w:color w:val="000000"/>
                <w:sz w:val="15"/>
                <w:szCs w:val="16"/>
              </w:rPr>
            </w:pPr>
            <w:r>
              <w:rPr>
                <w:rFonts w:hint="eastAsia" w:asciiTheme="minorEastAsia" w:hAnsiTheme="minorEastAsia"/>
                <w:color w:val="000000"/>
                <w:sz w:val="15"/>
                <w:szCs w:val="16"/>
              </w:rPr>
              <w:t>中专</w:t>
            </w:r>
          </w:p>
        </w:tc>
        <w:tc>
          <w:tcPr>
            <w:tcW w:w="843" w:type="dxa"/>
            <w:tcBorders>
              <w:top w:val="nil"/>
              <w:left w:val="nil"/>
              <w:bottom w:val="single" w:color="auto" w:sz="4" w:space="0"/>
              <w:right w:val="single" w:color="auto" w:sz="4" w:space="0"/>
            </w:tcBorders>
            <w:shd w:val="clear" w:color="auto" w:fill="auto"/>
            <w:noWrap/>
            <w:vAlign w:val="bottom"/>
          </w:tcPr>
          <w:p w14:paraId="7D7BB04B">
            <w:pPr>
              <w:widowControl/>
              <w:jc w:val="center"/>
              <w:rPr>
                <w:rFonts w:cs="宋体" w:asciiTheme="minorEastAsia" w:hAnsiTheme="minorEastAsia"/>
                <w:color w:val="000000"/>
                <w:kern w:val="0"/>
                <w:sz w:val="15"/>
                <w:szCs w:val="16"/>
              </w:rPr>
            </w:pPr>
            <w:r>
              <w:rPr>
                <w:rFonts w:hint="eastAsia" w:cs="宋体" w:asciiTheme="minorEastAsia" w:hAnsiTheme="minorEastAsia"/>
                <w:color w:val="000000"/>
                <w:kern w:val="0"/>
                <w:sz w:val="15"/>
                <w:szCs w:val="16"/>
              </w:rPr>
              <w:t>19841208</w:t>
            </w:r>
          </w:p>
        </w:tc>
        <w:tc>
          <w:tcPr>
            <w:tcW w:w="854" w:type="dxa"/>
            <w:tcBorders>
              <w:top w:val="nil"/>
              <w:left w:val="nil"/>
              <w:bottom w:val="single" w:color="auto" w:sz="4" w:space="0"/>
              <w:right w:val="single" w:color="auto" w:sz="4" w:space="0"/>
            </w:tcBorders>
            <w:shd w:val="clear" w:color="auto" w:fill="auto"/>
            <w:noWrap/>
            <w:vAlign w:val="center"/>
          </w:tcPr>
          <w:p w14:paraId="118CD058">
            <w:pPr>
              <w:jc w:val="center"/>
              <w:rPr>
                <w:rFonts w:cs="宋体" w:asciiTheme="minorEastAsia" w:hAnsiTheme="minorEastAsia"/>
                <w:color w:val="000000"/>
                <w:sz w:val="15"/>
                <w:szCs w:val="16"/>
              </w:rPr>
            </w:pPr>
            <w:r>
              <w:rPr>
                <w:rFonts w:hint="eastAsia" w:asciiTheme="minorEastAsia" w:hAnsiTheme="minorEastAsia"/>
                <w:color w:val="000000"/>
                <w:sz w:val="15"/>
                <w:szCs w:val="16"/>
              </w:rPr>
              <w:t>2008.09</w:t>
            </w:r>
          </w:p>
        </w:tc>
        <w:tc>
          <w:tcPr>
            <w:tcW w:w="609" w:type="dxa"/>
            <w:tcBorders>
              <w:top w:val="nil"/>
              <w:left w:val="nil"/>
              <w:bottom w:val="single" w:color="auto" w:sz="4" w:space="0"/>
              <w:right w:val="single" w:color="auto" w:sz="4" w:space="0"/>
            </w:tcBorders>
            <w:shd w:val="clear" w:color="auto" w:fill="auto"/>
            <w:noWrap/>
            <w:vAlign w:val="center"/>
          </w:tcPr>
          <w:p w14:paraId="271A3B1C">
            <w:pPr>
              <w:jc w:val="center"/>
              <w:rPr>
                <w:rFonts w:cs="宋体" w:asciiTheme="minorEastAsia" w:hAnsiTheme="minorEastAsia"/>
                <w:color w:val="000000"/>
                <w:sz w:val="15"/>
                <w:szCs w:val="16"/>
              </w:rPr>
            </w:pPr>
            <w:r>
              <w:rPr>
                <w:rFonts w:hint="eastAsia" w:asciiTheme="minorEastAsia" w:hAnsiTheme="minorEastAsia"/>
                <w:color w:val="000000"/>
                <w:sz w:val="15"/>
                <w:szCs w:val="16"/>
              </w:rPr>
              <w:t>23</w:t>
            </w:r>
          </w:p>
        </w:tc>
        <w:tc>
          <w:tcPr>
            <w:tcW w:w="1566" w:type="dxa"/>
            <w:tcBorders>
              <w:top w:val="nil"/>
              <w:left w:val="nil"/>
              <w:bottom w:val="single" w:color="auto" w:sz="4" w:space="0"/>
              <w:right w:val="single" w:color="auto" w:sz="4" w:space="0"/>
            </w:tcBorders>
            <w:shd w:val="clear" w:color="auto" w:fill="auto"/>
            <w:noWrap/>
            <w:vAlign w:val="bottom"/>
          </w:tcPr>
          <w:p w14:paraId="130D4653">
            <w:pPr>
              <w:widowControl/>
              <w:jc w:val="center"/>
              <w:rPr>
                <w:rFonts w:cs="宋体" w:asciiTheme="minorEastAsia" w:hAnsiTheme="minorEastAsia"/>
                <w:color w:val="0000FF"/>
                <w:kern w:val="0"/>
                <w:sz w:val="15"/>
                <w:szCs w:val="16"/>
                <w:u w:val="single"/>
              </w:rPr>
            </w:pPr>
            <w:r>
              <w:fldChar w:fldCharType="begin"/>
            </w:r>
            <w:r>
              <w:instrText xml:space="preserve"> HYPERLINK "mailto:prxh2008@126.com" </w:instrText>
            </w:r>
            <w:r>
              <w:fldChar w:fldCharType="separate"/>
            </w:r>
            <w:r>
              <w:rPr>
                <w:rFonts w:hint="eastAsia" w:cs="宋体" w:asciiTheme="minorEastAsia" w:hAnsiTheme="minorEastAsia"/>
                <w:color w:val="0000FF"/>
                <w:kern w:val="0"/>
                <w:sz w:val="15"/>
                <w:szCs w:val="16"/>
                <w:u w:val="single"/>
              </w:rPr>
              <w:t>prxh2008@126.com</w:t>
            </w:r>
            <w:r>
              <w:rPr>
                <w:rFonts w:hint="eastAsia" w:cs="宋体" w:asciiTheme="minorEastAsia" w:hAnsiTheme="minorEastAsia"/>
                <w:color w:val="0000FF"/>
                <w:kern w:val="0"/>
                <w:sz w:val="15"/>
                <w:szCs w:val="16"/>
                <w:u w:val="single"/>
              </w:rPr>
              <w:fldChar w:fldCharType="end"/>
            </w:r>
          </w:p>
        </w:tc>
        <w:tc>
          <w:tcPr>
            <w:tcW w:w="1143" w:type="dxa"/>
            <w:tcBorders>
              <w:top w:val="nil"/>
              <w:left w:val="nil"/>
              <w:bottom w:val="single" w:color="auto" w:sz="4" w:space="0"/>
              <w:right w:val="single" w:color="auto" w:sz="4" w:space="0"/>
            </w:tcBorders>
            <w:shd w:val="clear" w:color="auto" w:fill="auto"/>
            <w:noWrap/>
            <w:vAlign w:val="center"/>
          </w:tcPr>
          <w:p w14:paraId="03437518">
            <w:pPr>
              <w:jc w:val="center"/>
              <w:rPr>
                <w:rFonts w:cs="宋体" w:asciiTheme="minorEastAsia" w:hAnsiTheme="minorEastAsia"/>
                <w:color w:val="000000"/>
                <w:sz w:val="15"/>
                <w:szCs w:val="16"/>
              </w:rPr>
            </w:pPr>
            <w:r>
              <w:rPr>
                <w:rFonts w:hint="eastAsia" w:asciiTheme="minorEastAsia" w:hAnsiTheme="minorEastAsia"/>
                <w:color w:val="000000"/>
                <w:sz w:val="15"/>
                <w:szCs w:val="16"/>
              </w:rPr>
              <w:t>13455818587</w:t>
            </w:r>
          </w:p>
        </w:tc>
        <w:tc>
          <w:tcPr>
            <w:tcW w:w="778" w:type="dxa"/>
            <w:tcBorders>
              <w:top w:val="nil"/>
              <w:left w:val="nil"/>
              <w:bottom w:val="single" w:color="auto" w:sz="4" w:space="0"/>
              <w:right w:val="single" w:color="auto" w:sz="4" w:space="0"/>
            </w:tcBorders>
            <w:shd w:val="clear" w:color="auto" w:fill="auto"/>
            <w:noWrap/>
            <w:vAlign w:val="bottom"/>
          </w:tcPr>
          <w:p w14:paraId="07C69494">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已上传</w:t>
            </w:r>
          </w:p>
        </w:tc>
        <w:tc>
          <w:tcPr>
            <w:tcW w:w="1646" w:type="dxa"/>
            <w:tcBorders>
              <w:top w:val="nil"/>
              <w:left w:val="nil"/>
              <w:bottom w:val="single" w:color="auto" w:sz="4" w:space="0"/>
              <w:right w:val="single" w:color="auto" w:sz="4" w:space="0"/>
            </w:tcBorders>
            <w:shd w:val="clear" w:color="auto" w:fill="auto"/>
            <w:noWrap/>
            <w:vAlign w:val="bottom"/>
          </w:tcPr>
          <w:p w14:paraId="7DCC0A80">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泰安市饭店烹饪协会</w:t>
            </w:r>
          </w:p>
        </w:tc>
      </w:tr>
      <w:tr w14:paraId="6F2E4A11">
        <w:tblPrEx>
          <w:tblCellMar>
            <w:top w:w="0" w:type="dxa"/>
            <w:left w:w="108" w:type="dxa"/>
            <w:bottom w:w="0" w:type="dxa"/>
            <w:right w:w="108" w:type="dxa"/>
          </w:tblCellMar>
        </w:tblPrEx>
        <w:trPr>
          <w:trHeight w:val="375" w:hRule="atLeast"/>
        </w:trPr>
        <w:tc>
          <w:tcPr>
            <w:tcW w:w="685" w:type="dxa"/>
            <w:tcBorders>
              <w:top w:val="nil"/>
              <w:left w:val="single" w:color="auto" w:sz="4" w:space="0"/>
              <w:bottom w:val="single" w:color="auto" w:sz="4" w:space="0"/>
              <w:right w:val="single" w:color="auto" w:sz="4" w:space="0"/>
            </w:tcBorders>
            <w:shd w:val="clear" w:color="auto" w:fill="auto"/>
            <w:vAlign w:val="center"/>
          </w:tcPr>
          <w:p w14:paraId="24FF68A1">
            <w:pPr>
              <w:jc w:val="left"/>
              <w:rPr>
                <w:rFonts w:cs="宋体" w:asciiTheme="minorEastAsia" w:hAnsiTheme="minorEastAsia"/>
                <w:color w:val="000000"/>
                <w:sz w:val="15"/>
                <w:szCs w:val="16"/>
              </w:rPr>
            </w:pPr>
            <w:r>
              <w:rPr>
                <w:rFonts w:hint="eastAsia" w:asciiTheme="minorEastAsia" w:hAnsiTheme="minorEastAsia"/>
                <w:color w:val="000000"/>
                <w:sz w:val="15"/>
                <w:szCs w:val="16"/>
              </w:rPr>
              <w:t>平宝利</w:t>
            </w:r>
          </w:p>
        </w:tc>
        <w:tc>
          <w:tcPr>
            <w:tcW w:w="1678" w:type="dxa"/>
            <w:tcBorders>
              <w:top w:val="nil"/>
              <w:left w:val="nil"/>
              <w:bottom w:val="single" w:color="auto" w:sz="4" w:space="0"/>
              <w:right w:val="single" w:color="auto" w:sz="4" w:space="0"/>
            </w:tcBorders>
            <w:shd w:val="clear" w:color="auto" w:fill="auto"/>
            <w:vAlign w:val="center"/>
          </w:tcPr>
          <w:p w14:paraId="1C21E687">
            <w:pPr>
              <w:jc w:val="center"/>
              <w:rPr>
                <w:rFonts w:cs="宋体" w:asciiTheme="minorEastAsia" w:hAnsiTheme="minorEastAsia"/>
                <w:color w:val="000000"/>
                <w:sz w:val="15"/>
                <w:szCs w:val="16"/>
              </w:rPr>
            </w:pPr>
            <w:r>
              <w:rPr>
                <w:rFonts w:hint="eastAsia" w:asciiTheme="minorEastAsia" w:hAnsiTheme="minorEastAsia"/>
                <w:color w:val="000000"/>
                <w:sz w:val="15"/>
                <w:szCs w:val="16"/>
              </w:rPr>
              <w:t>370902198809035411</w:t>
            </w:r>
          </w:p>
        </w:tc>
        <w:tc>
          <w:tcPr>
            <w:tcW w:w="497" w:type="dxa"/>
            <w:tcBorders>
              <w:top w:val="nil"/>
              <w:left w:val="nil"/>
              <w:bottom w:val="single" w:color="auto" w:sz="4" w:space="0"/>
              <w:right w:val="single" w:color="auto" w:sz="4" w:space="0"/>
            </w:tcBorders>
            <w:shd w:val="clear" w:color="auto" w:fill="auto"/>
            <w:vAlign w:val="center"/>
          </w:tcPr>
          <w:p w14:paraId="423AEBFB">
            <w:pPr>
              <w:jc w:val="center"/>
              <w:rPr>
                <w:rFonts w:cs="宋体" w:asciiTheme="minorEastAsia" w:hAnsiTheme="minorEastAsia"/>
                <w:color w:val="000000"/>
                <w:sz w:val="15"/>
                <w:szCs w:val="16"/>
              </w:rPr>
            </w:pPr>
            <w:r>
              <w:rPr>
                <w:rFonts w:hint="eastAsia" w:asciiTheme="minorEastAsia" w:hAnsiTheme="minorEastAsia"/>
                <w:color w:val="000000"/>
                <w:sz w:val="15"/>
                <w:szCs w:val="16"/>
              </w:rPr>
              <w:t>男</w:t>
            </w:r>
          </w:p>
        </w:tc>
        <w:tc>
          <w:tcPr>
            <w:tcW w:w="496" w:type="dxa"/>
            <w:tcBorders>
              <w:top w:val="nil"/>
              <w:left w:val="nil"/>
              <w:bottom w:val="single" w:color="auto" w:sz="4" w:space="0"/>
              <w:right w:val="single" w:color="auto" w:sz="4" w:space="0"/>
            </w:tcBorders>
            <w:shd w:val="clear" w:color="auto" w:fill="auto"/>
            <w:noWrap/>
            <w:vAlign w:val="bottom"/>
          </w:tcPr>
          <w:p w14:paraId="1CB8097A">
            <w:pPr>
              <w:widowControl/>
              <w:jc w:val="center"/>
              <w:rPr>
                <w:rFonts w:cs="宋体" w:asciiTheme="minorEastAsia" w:hAnsiTheme="minorEastAsia"/>
                <w:color w:val="000000"/>
                <w:kern w:val="0"/>
                <w:sz w:val="15"/>
                <w:szCs w:val="16"/>
              </w:rPr>
            </w:pPr>
            <w:r>
              <w:rPr>
                <w:rFonts w:hint="eastAsia" w:cs="宋体" w:asciiTheme="minorEastAsia" w:hAnsiTheme="minorEastAsia"/>
                <w:color w:val="000000"/>
                <w:kern w:val="0"/>
                <w:sz w:val="15"/>
                <w:szCs w:val="16"/>
              </w:rPr>
              <w:t>汉</w:t>
            </w:r>
          </w:p>
        </w:tc>
        <w:tc>
          <w:tcPr>
            <w:tcW w:w="657" w:type="dxa"/>
            <w:tcBorders>
              <w:top w:val="nil"/>
              <w:left w:val="nil"/>
              <w:bottom w:val="single" w:color="auto" w:sz="4" w:space="0"/>
              <w:right w:val="single" w:color="auto" w:sz="4" w:space="0"/>
            </w:tcBorders>
            <w:shd w:val="clear" w:color="auto" w:fill="auto"/>
            <w:vAlign w:val="center"/>
          </w:tcPr>
          <w:p w14:paraId="7D810858">
            <w:pPr>
              <w:jc w:val="center"/>
              <w:rPr>
                <w:rFonts w:cs="宋体" w:asciiTheme="minorEastAsia" w:hAnsiTheme="minorEastAsia"/>
                <w:color w:val="000000"/>
                <w:sz w:val="15"/>
                <w:szCs w:val="16"/>
              </w:rPr>
            </w:pPr>
            <w:r>
              <w:rPr>
                <w:rFonts w:hint="eastAsia" w:asciiTheme="minorEastAsia" w:hAnsiTheme="minorEastAsia"/>
                <w:color w:val="000000"/>
                <w:sz w:val="15"/>
                <w:szCs w:val="16"/>
              </w:rPr>
              <w:t>高中</w:t>
            </w:r>
          </w:p>
        </w:tc>
        <w:tc>
          <w:tcPr>
            <w:tcW w:w="843" w:type="dxa"/>
            <w:tcBorders>
              <w:top w:val="nil"/>
              <w:left w:val="nil"/>
              <w:bottom w:val="single" w:color="auto" w:sz="4" w:space="0"/>
              <w:right w:val="single" w:color="auto" w:sz="4" w:space="0"/>
            </w:tcBorders>
            <w:shd w:val="clear" w:color="auto" w:fill="auto"/>
            <w:noWrap/>
            <w:vAlign w:val="bottom"/>
          </w:tcPr>
          <w:p w14:paraId="0C15292D">
            <w:pPr>
              <w:widowControl/>
              <w:jc w:val="center"/>
              <w:rPr>
                <w:rFonts w:cs="宋体" w:asciiTheme="minorEastAsia" w:hAnsiTheme="minorEastAsia"/>
                <w:color w:val="000000"/>
                <w:kern w:val="0"/>
                <w:sz w:val="15"/>
                <w:szCs w:val="16"/>
              </w:rPr>
            </w:pPr>
            <w:r>
              <w:rPr>
                <w:rFonts w:hint="eastAsia" w:cs="宋体" w:asciiTheme="minorEastAsia" w:hAnsiTheme="minorEastAsia"/>
                <w:color w:val="000000"/>
                <w:kern w:val="0"/>
                <w:sz w:val="15"/>
                <w:szCs w:val="16"/>
              </w:rPr>
              <w:t>19880903</w:t>
            </w:r>
          </w:p>
        </w:tc>
        <w:tc>
          <w:tcPr>
            <w:tcW w:w="854" w:type="dxa"/>
            <w:tcBorders>
              <w:top w:val="nil"/>
              <w:left w:val="nil"/>
              <w:bottom w:val="single" w:color="auto" w:sz="4" w:space="0"/>
              <w:right w:val="single" w:color="auto" w:sz="4" w:space="0"/>
            </w:tcBorders>
            <w:shd w:val="clear" w:color="auto" w:fill="auto"/>
            <w:vAlign w:val="center"/>
          </w:tcPr>
          <w:p w14:paraId="587E6C0B">
            <w:pPr>
              <w:jc w:val="center"/>
              <w:rPr>
                <w:rFonts w:cs="宋体" w:asciiTheme="minorEastAsia" w:hAnsiTheme="minorEastAsia"/>
                <w:color w:val="000000"/>
                <w:sz w:val="15"/>
                <w:szCs w:val="16"/>
              </w:rPr>
            </w:pPr>
            <w:r>
              <w:rPr>
                <w:rFonts w:hint="eastAsia" w:asciiTheme="minorEastAsia" w:hAnsiTheme="minorEastAsia"/>
                <w:color w:val="000000"/>
                <w:sz w:val="15"/>
                <w:szCs w:val="16"/>
              </w:rPr>
              <w:t>1991.11</w:t>
            </w:r>
          </w:p>
          <w:p w14:paraId="5254E30C">
            <w:pPr>
              <w:widowControl/>
              <w:jc w:val="center"/>
              <w:rPr>
                <w:rFonts w:cs="宋体" w:asciiTheme="minorEastAsia" w:hAnsiTheme="minorEastAsia"/>
                <w:color w:val="000000"/>
                <w:kern w:val="0"/>
                <w:sz w:val="15"/>
                <w:szCs w:val="16"/>
              </w:rPr>
            </w:pPr>
          </w:p>
        </w:tc>
        <w:tc>
          <w:tcPr>
            <w:tcW w:w="609" w:type="dxa"/>
            <w:tcBorders>
              <w:top w:val="nil"/>
              <w:left w:val="nil"/>
              <w:bottom w:val="single" w:color="auto" w:sz="4" w:space="0"/>
              <w:right w:val="single" w:color="auto" w:sz="4" w:space="0"/>
            </w:tcBorders>
            <w:shd w:val="clear" w:color="auto" w:fill="auto"/>
            <w:noWrap/>
            <w:vAlign w:val="center"/>
          </w:tcPr>
          <w:p w14:paraId="1C9547F6">
            <w:pPr>
              <w:jc w:val="center"/>
              <w:rPr>
                <w:rFonts w:cs="宋体" w:asciiTheme="minorEastAsia" w:hAnsiTheme="minorEastAsia"/>
                <w:color w:val="000000"/>
                <w:sz w:val="15"/>
                <w:szCs w:val="16"/>
              </w:rPr>
            </w:pPr>
            <w:r>
              <w:rPr>
                <w:rFonts w:hint="eastAsia" w:asciiTheme="minorEastAsia" w:hAnsiTheme="minorEastAsia"/>
                <w:color w:val="000000"/>
                <w:sz w:val="15"/>
                <w:szCs w:val="16"/>
              </w:rPr>
              <w:t>16</w:t>
            </w:r>
          </w:p>
        </w:tc>
        <w:tc>
          <w:tcPr>
            <w:tcW w:w="1566" w:type="dxa"/>
            <w:tcBorders>
              <w:top w:val="nil"/>
              <w:left w:val="nil"/>
              <w:bottom w:val="single" w:color="auto" w:sz="4" w:space="0"/>
              <w:right w:val="single" w:color="auto" w:sz="4" w:space="0"/>
            </w:tcBorders>
            <w:shd w:val="clear" w:color="auto" w:fill="auto"/>
            <w:noWrap/>
            <w:vAlign w:val="bottom"/>
          </w:tcPr>
          <w:p w14:paraId="3711E374">
            <w:pPr>
              <w:widowControl/>
              <w:jc w:val="center"/>
              <w:rPr>
                <w:rFonts w:cs="宋体" w:asciiTheme="minorEastAsia" w:hAnsiTheme="minorEastAsia"/>
                <w:color w:val="0000FF"/>
                <w:kern w:val="0"/>
                <w:sz w:val="15"/>
                <w:szCs w:val="16"/>
                <w:u w:val="single"/>
              </w:rPr>
            </w:pPr>
            <w:r>
              <w:fldChar w:fldCharType="begin"/>
            </w:r>
            <w:r>
              <w:instrText xml:space="preserve"> HYPERLINK "mailto:prxh2008@126.com" </w:instrText>
            </w:r>
            <w:r>
              <w:fldChar w:fldCharType="separate"/>
            </w:r>
            <w:r>
              <w:rPr>
                <w:rFonts w:hint="eastAsia" w:cs="宋体" w:asciiTheme="minorEastAsia" w:hAnsiTheme="minorEastAsia"/>
                <w:color w:val="0000FF"/>
                <w:kern w:val="0"/>
                <w:sz w:val="15"/>
                <w:szCs w:val="16"/>
                <w:u w:val="single"/>
              </w:rPr>
              <w:t>prxh2008@126.com</w:t>
            </w:r>
            <w:r>
              <w:rPr>
                <w:rFonts w:hint="eastAsia" w:cs="宋体" w:asciiTheme="minorEastAsia" w:hAnsiTheme="minorEastAsia"/>
                <w:color w:val="0000FF"/>
                <w:kern w:val="0"/>
                <w:sz w:val="15"/>
                <w:szCs w:val="16"/>
                <w:u w:val="single"/>
              </w:rPr>
              <w:fldChar w:fldCharType="end"/>
            </w:r>
          </w:p>
        </w:tc>
        <w:tc>
          <w:tcPr>
            <w:tcW w:w="1143" w:type="dxa"/>
            <w:tcBorders>
              <w:top w:val="nil"/>
              <w:left w:val="nil"/>
              <w:bottom w:val="single" w:color="auto" w:sz="4" w:space="0"/>
              <w:right w:val="single" w:color="auto" w:sz="4" w:space="0"/>
            </w:tcBorders>
            <w:shd w:val="clear" w:color="auto" w:fill="auto"/>
            <w:noWrap/>
            <w:vAlign w:val="center"/>
          </w:tcPr>
          <w:p w14:paraId="038AC686">
            <w:pPr>
              <w:jc w:val="center"/>
              <w:rPr>
                <w:rFonts w:cs="宋体" w:asciiTheme="minorEastAsia" w:hAnsiTheme="minorEastAsia"/>
                <w:color w:val="000000"/>
                <w:sz w:val="15"/>
                <w:szCs w:val="16"/>
              </w:rPr>
            </w:pPr>
            <w:r>
              <w:rPr>
                <w:rFonts w:hint="eastAsia" w:asciiTheme="minorEastAsia" w:hAnsiTheme="minorEastAsia"/>
                <w:color w:val="000000"/>
                <w:sz w:val="15"/>
                <w:szCs w:val="16"/>
              </w:rPr>
              <w:t>18805484656</w:t>
            </w:r>
          </w:p>
        </w:tc>
        <w:tc>
          <w:tcPr>
            <w:tcW w:w="778" w:type="dxa"/>
            <w:tcBorders>
              <w:top w:val="nil"/>
              <w:left w:val="nil"/>
              <w:bottom w:val="single" w:color="auto" w:sz="4" w:space="0"/>
              <w:right w:val="single" w:color="auto" w:sz="4" w:space="0"/>
            </w:tcBorders>
            <w:shd w:val="clear" w:color="auto" w:fill="auto"/>
            <w:noWrap/>
            <w:vAlign w:val="bottom"/>
          </w:tcPr>
          <w:p w14:paraId="2A58DBF3">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已上传</w:t>
            </w:r>
          </w:p>
        </w:tc>
        <w:tc>
          <w:tcPr>
            <w:tcW w:w="1646" w:type="dxa"/>
            <w:tcBorders>
              <w:top w:val="nil"/>
              <w:left w:val="nil"/>
              <w:bottom w:val="single" w:color="auto" w:sz="4" w:space="0"/>
              <w:right w:val="single" w:color="auto" w:sz="4" w:space="0"/>
            </w:tcBorders>
            <w:shd w:val="clear" w:color="auto" w:fill="auto"/>
            <w:noWrap/>
            <w:vAlign w:val="bottom"/>
          </w:tcPr>
          <w:p w14:paraId="5865ABA7">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泰安市饭店烹饪协会</w:t>
            </w:r>
          </w:p>
        </w:tc>
      </w:tr>
    </w:tbl>
    <w:p w14:paraId="4B750BE2">
      <w:pPr>
        <w:autoSpaceDE w:val="0"/>
        <w:autoSpaceDN w:val="0"/>
        <w:spacing w:before="220" w:line="300" w:lineRule="atLeast"/>
      </w:pPr>
    </w:p>
    <w:p w14:paraId="70941E35">
      <w:pPr>
        <w:autoSpaceDE w:val="0"/>
        <w:autoSpaceDN w:val="0"/>
        <w:spacing w:before="280" w:line="300" w:lineRule="atLeast"/>
        <w:ind w:left="260"/>
        <w:rPr>
          <w:rFonts w:asciiTheme="minorEastAsia" w:hAnsiTheme="minorEastAsia"/>
          <w:sz w:val="24"/>
          <w:szCs w:val="24"/>
        </w:rPr>
      </w:pPr>
      <w:r>
        <w:rPr>
          <w:rFonts w:cs="宋体" w:asciiTheme="minorEastAsia" w:hAnsiTheme="minorEastAsia"/>
          <w:color w:val="000000"/>
          <w:sz w:val="24"/>
          <w:szCs w:val="24"/>
        </w:rPr>
        <w:t>2、在业务办理中输入督导员基本信息点击保存。</w:t>
      </w:r>
    </w:p>
    <w:p w14:paraId="12AFA9D4">
      <w:pPr>
        <w:autoSpaceDE w:val="0"/>
        <w:autoSpaceDN w:val="0"/>
        <w:spacing w:before="220" w:line="300" w:lineRule="atLeast"/>
        <w:ind w:left="260"/>
        <w:rPr>
          <w:rFonts w:asciiTheme="minorEastAsia" w:hAnsiTheme="minorEastAsia"/>
          <w:sz w:val="24"/>
          <w:szCs w:val="24"/>
        </w:rPr>
      </w:pPr>
      <w:r>
        <w:rPr>
          <w:rFonts w:cs="宋体" w:asciiTheme="minorEastAsia" w:hAnsiTheme="minorEastAsia"/>
          <w:color w:val="000000"/>
          <w:sz w:val="24"/>
          <w:szCs w:val="24"/>
        </w:rPr>
        <w:t>负责人：乔伟</w:t>
      </w:r>
    </w:p>
    <w:p w14:paraId="7D9320CE">
      <w:pPr>
        <w:autoSpaceDE w:val="0"/>
        <w:autoSpaceDN w:val="0"/>
        <w:spacing w:before="180" w:line="340" w:lineRule="atLeast"/>
        <w:ind w:left="260"/>
        <w:rPr>
          <w:rFonts w:asciiTheme="minorEastAsia" w:hAnsiTheme="minorEastAsia"/>
          <w:sz w:val="24"/>
          <w:szCs w:val="24"/>
        </w:rPr>
      </w:pPr>
      <w:r>
        <w:rPr>
          <w:rFonts w:cs="宋体" w:asciiTheme="minorEastAsia" w:hAnsiTheme="minorEastAsia"/>
          <w:color w:val="000000"/>
          <w:sz w:val="24"/>
          <w:szCs w:val="24"/>
        </w:rPr>
        <w:t>十一、 考核评价</w:t>
      </w:r>
    </w:p>
    <w:p w14:paraId="736123B3">
      <w:pPr>
        <w:autoSpaceDE w:val="0"/>
        <w:autoSpaceDN w:val="0"/>
        <w:spacing w:before="240" w:line="300" w:lineRule="atLeast"/>
        <w:ind w:left="260"/>
        <w:rPr>
          <w:rFonts w:asciiTheme="minorEastAsia" w:hAnsiTheme="minorEastAsia"/>
          <w:sz w:val="24"/>
          <w:szCs w:val="24"/>
        </w:rPr>
      </w:pPr>
      <w:r>
        <w:rPr>
          <w:rFonts w:cs="宋体" w:asciiTheme="minorEastAsia" w:hAnsiTheme="minorEastAsia"/>
          <w:color w:val="000000"/>
          <w:sz w:val="24"/>
          <w:szCs w:val="24"/>
        </w:rPr>
        <w:t>(一) 试题、试卷的管理</w:t>
      </w:r>
    </w:p>
    <w:p w14:paraId="64D1FDE0">
      <w:pPr>
        <w:autoSpaceDE w:val="0"/>
        <w:autoSpaceDN w:val="0"/>
        <w:spacing w:before="20" w:line="520" w:lineRule="atLeast"/>
        <w:ind w:left="260" w:right="600"/>
        <w:rPr>
          <w:rFonts w:asciiTheme="minorEastAsia" w:hAnsiTheme="minorEastAsia"/>
          <w:sz w:val="24"/>
          <w:szCs w:val="24"/>
        </w:rPr>
      </w:pPr>
      <w:r>
        <w:rPr>
          <w:rFonts w:cs="宋体" w:asciiTheme="minorEastAsia" w:hAnsiTheme="minorEastAsia"/>
          <w:color w:val="000000"/>
          <w:sz w:val="24"/>
          <w:szCs w:val="24"/>
        </w:rPr>
        <w:t>1、由泰安市饭店烹饪协会协会自建题库中提取试题，理论考试采取智能化考试方式，技能考试采取现场操作。</w:t>
      </w:r>
    </w:p>
    <w:p w14:paraId="574C09BB">
      <w:pPr>
        <w:autoSpaceDE w:val="0"/>
        <w:autoSpaceDN w:val="0"/>
        <w:spacing w:before="220" w:line="300" w:lineRule="atLeast"/>
        <w:ind w:left="260"/>
        <w:rPr>
          <w:rFonts w:asciiTheme="minorEastAsia" w:hAnsiTheme="minorEastAsia"/>
          <w:sz w:val="24"/>
          <w:szCs w:val="24"/>
        </w:rPr>
      </w:pPr>
      <w:r>
        <w:rPr>
          <w:rFonts w:cs="宋体" w:asciiTheme="minorEastAsia" w:hAnsiTheme="minorEastAsia"/>
          <w:color w:val="000000"/>
          <w:sz w:val="24"/>
          <w:szCs w:val="24"/>
        </w:rPr>
        <w:t>负责人：郑金锋</w:t>
      </w:r>
    </w:p>
    <w:p w14:paraId="0A245767">
      <w:pPr>
        <w:autoSpaceDE w:val="0"/>
        <w:autoSpaceDN w:val="0"/>
        <w:spacing w:before="60" w:line="540" w:lineRule="atLeast"/>
        <w:ind w:left="260" w:right="660"/>
        <w:rPr>
          <w:rFonts w:asciiTheme="minorEastAsia" w:hAnsiTheme="minorEastAsia"/>
          <w:sz w:val="24"/>
          <w:szCs w:val="24"/>
        </w:rPr>
      </w:pPr>
      <w:r>
        <w:rPr>
          <w:rFonts w:cs="宋体" w:asciiTheme="minorEastAsia" w:hAnsiTheme="minorEastAsia"/>
          <w:color w:val="000000"/>
          <w:sz w:val="24"/>
          <w:szCs w:val="24"/>
        </w:rPr>
        <w:t>2、对试卷印制、保管、传输、交接和使用等，均遵循保密、安全原则，理论智能化考试试题，协会专人负责，做好保管和存放，实行科学化、规范化、标准化管理。</w:t>
      </w:r>
    </w:p>
    <w:p w14:paraId="1F588391">
      <w:pPr>
        <w:autoSpaceDE w:val="0"/>
        <w:autoSpaceDN w:val="0"/>
        <w:spacing w:before="220" w:line="300" w:lineRule="atLeast"/>
        <w:ind w:left="260"/>
        <w:rPr>
          <w:rFonts w:asciiTheme="minorEastAsia" w:hAnsiTheme="minorEastAsia"/>
          <w:sz w:val="24"/>
          <w:szCs w:val="24"/>
        </w:rPr>
      </w:pPr>
      <w:r>
        <w:rPr>
          <w:rFonts w:cs="宋体" w:asciiTheme="minorEastAsia" w:hAnsiTheme="minorEastAsia"/>
          <w:color w:val="000000"/>
          <w:sz w:val="24"/>
          <w:szCs w:val="24"/>
        </w:rPr>
        <w:t>负责人：乔伟</w:t>
      </w:r>
    </w:p>
    <w:p w14:paraId="7FEEBA4E">
      <w:pPr>
        <w:autoSpaceDE w:val="0"/>
        <w:autoSpaceDN w:val="0"/>
        <w:spacing w:before="320" w:line="300" w:lineRule="atLeast"/>
        <w:ind w:left="260"/>
        <w:rPr>
          <w:rFonts w:asciiTheme="minorEastAsia" w:hAnsiTheme="minorEastAsia"/>
          <w:sz w:val="24"/>
          <w:szCs w:val="24"/>
        </w:rPr>
      </w:pPr>
      <w:r>
        <w:rPr>
          <w:rFonts w:cs="宋体" w:asciiTheme="minorEastAsia" w:hAnsiTheme="minorEastAsia"/>
          <w:color w:val="000000"/>
          <w:sz w:val="24"/>
          <w:szCs w:val="24"/>
        </w:rPr>
        <w:t>(二) 人员安排</w:t>
      </w:r>
    </w:p>
    <w:p w14:paraId="146341AB">
      <w:pPr>
        <w:autoSpaceDE w:val="0"/>
        <w:autoSpaceDN w:val="0"/>
        <w:spacing w:before="240" w:line="300" w:lineRule="atLeast"/>
        <w:ind w:left="26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1、考务人员安排</w:t>
      </w:r>
    </w:p>
    <w:p w14:paraId="1DA88027">
      <w:pPr>
        <w:autoSpaceDE w:val="0"/>
        <w:autoSpaceDN w:val="0"/>
        <w:spacing w:before="240" w:line="300" w:lineRule="atLeast"/>
        <w:ind w:left="260"/>
        <w:rPr>
          <w:rFonts w:asciiTheme="minorEastAsia" w:hAnsiTheme="minorEastAsia"/>
          <w:sz w:val="24"/>
          <w:szCs w:val="24"/>
        </w:rPr>
      </w:pPr>
      <w:r>
        <w:rPr>
          <w:rFonts w:hint="eastAsia" w:cs="宋体" w:asciiTheme="minorEastAsia" w:hAnsiTheme="minorEastAsia"/>
          <w:color w:val="000000"/>
          <w:sz w:val="24"/>
          <w:szCs w:val="24"/>
        </w:rPr>
        <w:t>考场内部质量督导人员：訾胜军</w:t>
      </w:r>
    </w:p>
    <w:p w14:paraId="5141D7BF">
      <w:pPr>
        <w:autoSpaceDE w:val="0"/>
        <w:autoSpaceDN w:val="0"/>
        <w:spacing w:before="240" w:line="300" w:lineRule="atLeast"/>
        <w:ind w:left="260"/>
        <w:rPr>
          <w:rFonts w:asciiTheme="minorEastAsia" w:hAnsiTheme="minorEastAsia"/>
          <w:sz w:val="24"/>
          <w:szCs w:val="24"/>
        </w:rPr>
      </w:pPr>
      <w:r>
        <w:rPr>
          <w:rFonts w:cs="宋体" w:asciiTheme="minorEastAsia" w:hAnsiTheme="minorEastAsia"/>
          <w:sz w:val="24"/>
          <w:szCs w:val="24"/>
        </w:rPr>
        <w:t>技能操作考场考务人员：訾新法</w:t>
      </w:r>
    </w:p>
    <w:p w14:paraId="0E666BEC">
      <w:pPr>
        <w:autoSpaceDE w:val="0"/>
        <w:autoSpaceDN w:val="0"/>
        <w:spacing w:before="260" w:line="300" w:lineRule="atLeast"/>
        <w:ind w:left="260"/>
        <w:rPr>
          <w:rFonts w:asciiTheme="minorEastAsia" w:hAnsiTheme="minorEastAsia"/>
          <w:sz w:val="24"/>
          <w:szCs w:val="24"/>
        </w:rPr>
      </w:pPr>
      <w:r>
        <w:rPr>
          <w:rFonts w:cs="宋体" w:asciiTheme="minorEastAsia" w:hAnsiTheme="minorEastAsia"/>
          <w:sz w:val="24"/>
          <w:szCs w:val="24"/>
        </w:rPr>
        <w:t>理论考场监考人员</w:t>
      </w:r>
      <w:r>
        <w:rPr>
          <w:rFonts w:hint="eastAsia" w:cs="宋体" w:asciiTheme="minorEastAsia" w:hAnsiTheme="minorEastAsia"/>
          <w:sz w:val="24"/>
          <w:szCs w:val="24"/>
        </w:rPr>
        <w:t>2</w:t>
      </w:r>
      <w:r>
        <w:rPr>
          <w:rFonts w:cs="宋体" w:asciiTheme="minorEastAsia" w:hAnsiTheme="minorEastAsia"/>
          <w:sz w:val="24"/>
          <w:szCs w:val="24"/>
        </w:rPr>
        <w:t>名：郑金锋、乔伟</w:t>
      </w:r>
    </w:p>
    <w:p w14:paraId="0ABE0EBD">
      <w:pPr>
        <w:autoSpaceDE w:val="0"/>
        <w:autoSpaceDN w:val="0"/>
        <w:spacing w:before="260" w:line="300" w:lineRule="atLeast"/>
        <w:ind w:left="260"/>
        <w:rPr>
          <w:rFonts w:asciiTheme="minorEastAsia" w:hAnsiTheme="minorEastAsia"/>
          <w:sz w:val="24"/>
          <w:szCs w:val="24"/>
        </w:rPr>
      </w:pPr>
      <w:r>
        <w:rPr>
          <w:rFonts w:cs="宋体" w:asciiTheme="minorEastAsia" w:hAnsiTheme="minorEastAsia"/>
          <w:sz w:val="24"/>
          <w:szCs w:val="24"/>
        </w:rPr>
        <w:t>计算机维护人员1名：郑金锋</w:t>
      </w:r>
    </w:p>
    <w:p w14:paraId="0525EB21">
      <w:pPr>
        <w:autoSpaceDE w:val="0"/>
        <w:autoSpaceDN w:val="0"/>
        <w:spacing w:before="240" w:line="300" w:lineRule="atLeast"/>
        <w:ind w:left="260"/>
        <w:rPr>
          <w:rFonts w:asciiTheme="minorEastAsia" w:hAnsiTheme="minorEastAsia"/>
          <w:sz w:val="24"/>
          <w:szCs w:val="24"/>
        </w:rPr>
      </w:pPr>
      <w:r>
        <w:rPr>
          <w:rFonts w:cs="宋体" w:asciiTheme="minorEastAsia" w:hAnsiTheme="minorEastAsia"/>
          <w:sz w:val="24"/>
          <w:szCs w:val="24"/>
        </w:rPr>
        <w:t>实操考核教室核分人2名：乔伟、郑金锋</w:t>
      </w:r>
    </w:p>
    <w:p w14:paraId="59940567">
      <w:pPr>
        <w:autoSpaceDE w:val="0"/>
        <w:autoSpaceDN w:val="0"/>
        <w:spacing w:before="240" w:line="300" w:lineRule="atLeast"/>
        <w:ind w:left="630" w:leftChars="300"/>
        <w:rPr>
          <w:rFonts w:cs="宋体" w:asciiTheme="minorEastAsia" w:hAnsiTheme="minorEastAsia"/>
          <w:sz w:val="24"/>
          <w:szCs w:val="24"/>
        </w:rPr>
      </w:pPr>
      <w:r>
        <w:rPr>
          <w:rFonts w:cs="宋体" w:asciiTheme="minorEastAsia" w:hAnsiTheme="minorEastAsia"/>
          <w:sz w:val="24"/>
          <w:szCs w:val="24"/>
        </w:rPr>
        <w:t>2、 考评人员：</w:t>
      </w:r>
    </w:p>
    <w:p w14:paraId="2B72BAA9">
      <w:pPr>
        <w:autoSpaceDE w:val="0"/>
        <w:autoSpaceDN w:val="0"/>
        <w:spacing w:before="240" w:line="360" w:lineRule="auto"/>
        <w:ind w:left="630" w:leftChars="300"/>
        <w:rPr>
          <w:rFonts w:asciiTheme="minorEastAsia" w:hAnsiTheme="minorEastAsia"/>
          <w:sz w:val="24"/>
          <w:szCs w:val="24"/>
        </w:rPr>
      </w:pPr>
      <w:r>
        <w:rPr>
          <w:rFonts w:cs="宋体" w:asciiTheme="minorEastAsia" w:hAnsiTheme="minorEastAsia"/>
          <w:sz w:val="24"/>
          <w:szCs w:val="24"/>
        </w:rPr>
        <w:t>本次技能考核设置</w:t>
      </w:r>
      <w:r>
        <w:rPr>
          <w:rFonts w:hint="eastAsia" w:cs="宋体" w:asciiTheme="minorEastAsia" w:hAnsiTheme="minorEastAsia"/>
          <w:sz w:val="24"/>
          <w:szCs w:val="24"/>
          <w:lang w:val="en-US" w:eastAsia="zh-CN"/>
        </w:rPr>
        <w:t>2</w:t>
      </w:r>
      <w:r>
        <w:rPr>
          <w:rFonts w:cs="宋体" w:asciiTheme="minorEastAsia" w:hAnsiTheme="minorEastAsia"/>
          <w:sz w:val="24"/>
          <w:szCs w:val="24"/>
        </w:rPr>
        <w:t>个工种， 每个工种设有考评人员（根据学员人数的比例设置考评员人数）并设组长一名。</w:t>
      </w:r>
    </w:p>
    <w:p w14:paraId="111463B9">
      <w:pPr>
        <w:spacing w:line="80" w:lineRule="exact"/>
        <w:rPr>
          <w:rFonts w:asciiTheme="minorEastAsia" w:hAnsiTheme="minorEastAsia"/>
          <w:sz w:val="24"/>
          <w:szCs w:val="24"/>
        </w:rPr>
      </w:pPr>
    </w:p>
    <w:tbl>
      <w:tblPr>
        <w:tblStyle w:val="5"/>
        <w:tblW w:w="0" w:type="auto"/>
        <w:tblInd w:w="57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1134"/>
        <w:gridCol w:w="1418"/>
        <w:gridCol w:w="4252"/>
        <w:gridCol w:w="1276"/>
        <w:gridCol w:w="1276"/>
      </w:tblGrid>
      <w:tr w14:paraId="542F2F3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14" w:hRule="atLeast"/>
        </w:trPr>
        <w:tc>
          <w:tcPr>
            <w:tcW w:w="1134" w:type="dxa"/>
            <w:vAlign w:val="center"/>
          </w:tcPr>
          <w:p w14:paraId="78848112">
            <w:pPr>
              <w:autoSpaceDE w:val="0"/>
              <w:autoSpaceDN w:val="0"/>
              <w:spacing w:line="220" w:lineRule="atLeast"/>
              <w:ind w:firstLine="200" w:firstLineChars="100"/>
              <w:rPr>
                <w:rFonts w:ascii="仿宋" w:hAnsi="仿宋" w:eastAsia="仿宋"/>
                <w:sz w:val="20"/>
                <w:szCs w:val="24"/>
              </w:rPr>
            </w:pPr>
            <w:r>
              <w:rPr>
                <w:rFonts w:ascii="仿宋" w:hAnsi="仿宋" w:eastAsia="仿宋" w:cs="宋体"/>
                <w:sz w:val="20"/>
                <w:szCs w:val="24"/>
              </w:rPr>
              <w:t>序号</w:t>
            </w:r>
          </w:p>
        </w:tc>
        <w:tc>
          <w:tcPr>
            <w:tcW w:w="1418" w:type="dxa"/>
            <w:vAlign w:val="center"/>
          </w:tcPr>
          <w:p w14:paraId="746E7C9B">
            <w:pPr>
              <w:autoSpaceDE w:val="0"/>
              <w:autoSpaceDN w:val="0"/>
              <w:spacing w:line="220" w:lineRule="atLeast"/>
              <w:ind w:firstLine="400" w:firstLineChars="200"/>
              <w:rPr>
                <w:rFonts w:ascii="仿宋" w:hAnsi="仿宋" w:eastAsia="仿宋"/>
                <w:sz w:val="20"/>
                <w:szCs w:val="24"/>
              </w:rPr>
            </w:pPr>
            <w:r>
              <w:rPr>
                <w:rFonts w:ascii="仿宋" w:hAnsi="仿宋" w:eastAsia="仿宋" w:cs="宋体"/>
                <w:sz w:val="20"/>
                <w:szCs w:val="24"/>
              </w:rPr>
              <w:t>组长</w:t>
            </w:r>
          </w:p>
        </w:tc>
        <w:tc>
          <w:tcPr>
            <w:tcW w:w="4252" w:type="dxa"/>
          </w:tcPr>
          <w:p w14:paraId="6DD0A245">
            <w:pPr>
              <w:autoSpaceDE w:val="0"/>
              <w:autoSpaceDN w:val="0"/>
              <w:spacing w:line="220" w:lineRule="atLeast"/>
              <w:ind w:firstLine="1000" w:firstLineChars="500"/>
              <w:rPr>
                <w:rFonts w:ascii="仿宋" w:hAnsi="仿宋" w:eastAsia="仿宋" w:cs="宋体"/>
                <w:sz w:val="20"/>
                <w:szCs w:val="24"/>
              </w:rPr>
            </w:pPr>
            <w:r>
              <w:rPr>
                <w:rFonts w:ascii="仿宋" w:hAnsi="仿宋" w:eastAsia="仿宋" w:cs="宋体"/>
                <w:sz w:val="20"/>
                <w:szCs w:val="24"/>
              </w:rPr>
              <w:t>组员</w:t>
            </w:r>
          </w:p>
        </w:tc>
        <w:tc>
          <w:tcPr>
            <w:tcW w:w="1276" w:type="dxa"/>
            <w:vAlign w:val="center"/>
          </w:tcPr>
          <w:p w14:paraId="4FB001B8">
            <w:pPr>
              <w:autoSpaceDE w:val="0"/>
              <w:autoSpaceDN w:val="0"/>
              <w:spacing w:line="220" w:lineRule="atLeast"/>
              <w:ind w:firstLine="200" w:firstLineChars="100"/>
              <w:rPr>
                <w:rFonts w:ascii="仿宋" w:hAnsi="仿宋" w:eastAsia="仿宋"/>
                <w:sz w:val="20"/>
                <w:szCs w:val="24"/>
              </w:rPr>
            </w:pPr>
            <w:r>
              <w:rPr>
                <w:rFonts w:ascii="仿宋" w:hAnsi="仿宋" w:eastAsia="仿宋"/>
                <w:sz w:val="20"/>
                <w:szCs w:val="24"/>
              </w:rPr>
              <w:t>工种</w:t>
            </w:r>
          </w:p>
        </w:tc>
        <w:tc>
          <w:tcPr>
            <w:tcW w:w="1276" w:type="dxa"/>
          </w:tcPr>
          <w:p w14:paraId="2C68FBA0">
            <w:pPr>
              <w:autoSpaceDE w:val="0"/>
              <w:autoSpaceDN w:val="0"/>
              <w:spacing w:line="220" w:lineRule="atLeast"/>
              <w:rPr>
                <w:rFonts w:ascii="仿宋" w:hAnsi="仿宋" w:eastAsia="仿宋"/>
                <w:sz w:val="20"/>
                <w:szCs w:val="24"/>
              </w:rPr>
            </w:pPr>
            <w:r>
              <w:rPr>
                <w:rFonts w:ascii="仿宋" w:hAnsi="仿宋" w:eastAsia="仿宋"/>
                <w:sz w:val="20"/>
                <w:szCs w:val="24"/>
              </w:rPr>
              <w:t>考核人数</w:t>
            </w:r>
          </w:p>
        </w:tc>
      </w:tr>
      <w:tr w14:paraId="110DD88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7" w:hRule="atLeast"/>
        </w:trPr>
        <w:tc>
          <w:tcPr>
            <w:tcW w:w="1134" w:type="dxa"/>
            <w:vAlign w:val="center"/>
          </w:tcPr>
          <w:p w14:paraId="2DB2CDE9">
            <w:pPr>
              <w:autoSpaceDE w:val="0"/>
              <w:autoSpaceDN w:val="0"/>
              <w:spacing w:line="220" w:lineRule="atLeast"/>
              <w:jc w:val="center"/>
              <w:rPr>
                <w:rFonts w:ascii="仿宋" w:hAnsi="仿宋" w:eastAsia="仿宋"/>
                <w:sz w:val="20"/>
                <w:szCs w:val="24"/>
              </w:rPr>
            </w:pPr>
            <w:r>
              <w:rPr>
                <w:rFonts w:ascii="仿宋" w:hAnsi="仿宋" w:eastAsia="仿宋" w:cs="宋体"/>
                <w:sz w:val="20"/>
                <w:szCs w:val="24"/>
              </w:rPr>
              <w:t>1</w:t>
            </w:r>
          </w:p>
        </w:tc>
        <w:tc>
          <w:tcPr>
            <w:tcW w:w="1418" w:type="dxa"/>
            <w:vAlign w:val="center"/>
          </w:tcPr>
          <w:p w14:paraId="3DCB4E8D">
            <w:pPr>
              <w:autoSpaceDE w:val="0"/>
              <w:autoSpaceDN w:val="0"/>
              <w:spacing w:line="220" w:lineRule="atLeast"/>
              <w:jc w:val="center"/>
              <w:rPr>
                <w:rFonts w:hint="eastAsia" w:ascii="仿宋" w:hAnsi="仿宋" w:eastAsia="仿宋"/>
                <w:sz w:val="20"/>
                <w:szCs w:val="24"/>
                <w:lang w:eastAsia="zh-CN"/>
              </w:rPr>
            </w:pPr>
            <w:r>
              <w:rPr>
                <w:rFonts w:hint="eastAsia" w:ascii="仿宋" w:hAnsi="仿宋" w:eastAsia="仿宋"/>
                <w:sz w:val="20"/>
                <w:szCs w:val="24"/>
                <w:lang w:val="en-US" w:eastAsia="zh-CN"/>
              </w:rPr>
              <w:t>窦贤逢</w:t>
            </w:r>
          </w:p>
        </w:tc>
        <w:tc>
          <w:tcPr>
            <w:tcW w:w="4252" w:type="dxa"/>
          </w:tcPr>
          <w:p w14:paraId="476CA913">
            <w:pPr>
              <w:spacing w:line="240" w:lineRule="exact"/>
              <w:jc w:val="center"/>
              <w:rPr>
                <w:rFonts w:hint="eastAsia" w:ascii="仿宋" w:hAnsi="仿宋" w:eastAsia="仿宋"/>
                <w:sz w:val="20"/>
                <w:szCs w:val="24"/>
                <w:lang w:eastAsia="zh-CN"/>
              </w:rPr>
            </w:pPr>
            <w:r>
              <w:rPr>
                <w:rFonts w:hint="eastAsia" w:ascii="仿宋" w:hAnsi="仿宋" w:eastAsia="仿宋"/>
                <w:sz w:val="20"/>
                <w:szCs w:val="24"/>
                <w:lang w:val="en-US" w:eastAsia="zh-CN"/>
              </w:rPr>
              <w:t>郑金锋</w:t>
            </w:r>
            <w:r>
              <w:rPr>
                <w:rFonts w:ascii="仿宋" w:hAnsi="仿宋" w:eastAsia="仿宋"/>
                <w:sz w:val="20"/>
                <w:szCs w:val="24"/>
              </w:rPr>
              <w:t>、</w:t>
            </w:r>
            <w:r>
              <w:rPr>
                <w:rFonts w:hint="eastAsia" w:ascii="仿宋" w:hAnsi="仿宋" w:eastAsia="仿宋"/>
                <w:sz w:val="20"/>
                <w:szCs w:val="24"/>
                <w:lang w:val="en-US" w:eastAsia="zh-CN"/>
              </w:rPr>
              <w:t>关忠</w:t>
            </w:r>
          </w:p>
        </w:tc>
        <w:tc>
          <w:tcPr>
            <w:tcW w:w="1276" w:type="dxa"/>
            <w:vAlign w:val="center"/>
          </w:tcPr>
          <w:p w14:paraId="6E6A1852">
            <w:pPr>
              <w:spacing w:line="240" w:lineRule="exact"/>
              <w:rPr>
                <w:rFonts w:ascii="仿宋" w:hAnsi="仿宋" w:eastAsia="仿宋"/>
                <w:sz w:val="20"/>
                <w:szCs w:val="24"/>
              </w:rPr>
            </w:pPr>
            <w:r>
              <w:rPr>
                <w:rFonts w:ascii="仿宋" w:hAnsi="仿宋" w:eastAsia="仿宋"/>
                <w:sz w:val="20"/>
                <w:szCs w:val="24"/>
              </w:rPr>
              <w:t>中式烹调师</w:t>
            </w:r>
          </w:p>
        </w:tc>
        <w:tc>
          <w:tcPr>
            <w:tcW w:w="1276" w:type="dxa"/>
          </w:tcPr>
          <w:p w14:paraId="1AFC80FE">
            <w:pPr>
              <w:spacing w:line="240" w:lineRule="exact"/>
              <w:ind w:firstLine="200" w:firstLineChars="100"/>
              <w:rPr>
                <w:rFonts w:ascii="仿宋" w:hAnsi="仿宋" w:eastAsia="仿宋"/>
                <w:sz w:val="20"/>
                <w:szCs w:val="24"/>
              </w:rPr>
            </w:pPr>
            <w:r>
              <w:rPr>
                <w:rFonts w:hint="eastAsia" w:ascii="仿宋" w:hAnsi="仿宋" w:eastAsia="仿宋"/>
                <w:sz w:val="20"/>
                <w:szCs w:val="24"/>
                <w:lang w:val="en-US" w:eastAsia="zh-CN"/>
              </w:rPr>
              <w:t>23</w:t>
            </w:r>
            <w:r>
              <w:rPr>
                <w:rFonts w:hint="eastAsia" w:ascii="仿宋" w:hAnsi="仿宋" w:eastAsia="仿宋"/>
                <w:sz w:val="20"/>
                <w:szCs w:val="24"/>
              </w:rPr>
              <w:t>人</w:t>
            </w:r>
          </w:p>
        </w:tc>
      </w:tr>
      <w:tr w14:paraId="4F01964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3" w:hRule="atLeast"/>
        </w:trPr>
        <w:tc>
          <w:tcPr>
            <w:tcW w:w="1134" w:type="dxa"/>
            <w:vAlign w:val="center"/>
          </w:tcPr>
          <w:p w14:paraId="67C5D16E">
            <w:pPr>
              <w:autoSpaceDE w:val="0"/>
              <w:autoSpaceDN w:val="0"/>
              <w:spacing w:line="220" w:lineRule="atLeast"/>
              <w:jc w:val="center"/>
              <w:rPr>
                <w:rFonts w:ascii="仿宋" w:hAnsi="仿宋" w:eastAsia="仿宋"/>
                <w:sz w:val="20"/>
                <w:szCs w:val="24"/>
              </w:rPr>
            </w:pPr>
            <w:r>
              <w:rPr>
                <w:rFonts w:ascii="仿宋" w:hAnsi="仿宋" w:eastAsia="仿宋" w:cs="宋体"/>
                <w:sz w:val="20"/>
                <w:szCs w:val="24"/>
              </w:rPr>
              <w:t>2</w:t>
            </w:r>
          </w:p>
        </w:tc>
        <w:tc>
          <w:tcPr>
            <w:tcW w:w="1418" w:type="dxa"/>
            <w:vAlign w:val="center"/>
          </w:tcPr>
          <w:p w14:paraId="7B24B280">
            <w:pPr>
              <w:autoSpaceDE w:val="0"/>
              <w:autoSpaceDN w:val="0"/>
              <w:spacing w:line="220" w:lineRule="atLeast"/>
              <w:jc w:val="center"/>
              <w:rPr>
                <w:rFonts w:hint="eastAsia" w:ascii="仿宋" w:hAnsi="仿宋" w:eastAsia="仿宋"/>
                <w:sz w:val="20"/>
                <w:szCs w:val="24"/>
                <w:lang w:eastAsia="zh-CN"/>
              </w:rPr>
            </w:pPr>
            <w:r>
              <w:rPr>
                <w:rFonts w:hint="eastAsia" w:ascii="仿宋" w:hAnsi="仿宋" w:eastAsia="仿宋"/>
                <w:sz w:val="20"/>
                <w:szCs w:val="24"/>
                <w:lang w:val="en-US" w:eastAsia="zh-CN"/>
              </w:rPr>
              <w:t>王文霞</w:t>
            </w:r>
          </w:p>
        </w:tc>
        <w:tc>
          <w:tcPr>
            <w:tcW w:w="4252" w:type="dxa"/>
          </w:tcPr>
          <w:p w14:paraId="59242E60">
            <w:pPr>
              <w:spacing w:line="240" w:lineRule="exact"/>
              <w:jc w:val="center"/>
              <w:rPr>
                <w:rFonts w:hint="eastAsia" w:ascii="仿宋" w:hAnsi="仿宋" w:eastAsia="仿宋"/>
                <w:sz w:val="20"/>
                <w:szCs w:val="24"/>
                <w:lang w:val="en-US" w:eastAsia="zh-CN"/>
              </w:rPr>
            </w:pPr>
            <w:r>
              <w:rPr>
                <w:rFonts w:hint="eastAsia" w:ascii="仿宋" w:hAnsi="仿宋" w:eastAsia="仿宋"/>
                <w:sz w:val="20"/>
                <w:szCs w:val="24"/>
                <w:lang w:val="en-US" w:eastAsia="zh-CN"/>
              </w:rPr>
              <w:t>王文霞</w:t>
            </w:r>
          </w:p>
        </w:tc>
        <w:tc>
          <w:tcPr>
            <w:tcW w:w="1276" w:type="dxa"/>
            <w:vAlign w:val="center"/>
          </w:tcPr>
          <w:p w14:paraId="0ED6E6AB">
            <w:pPr>
              <w:spacing w:line="240" w:lineRule="exact"/>
              <w:rPr>
                <w:rFonts w:ascii="仿宋" w:hAnsi="仿宋" w:eastAsia="仿宋"/>
                <w:sz w:val="20"/>
                <w:szCs w:val="24"/>
              </w:rPr>
            </w:pPr>
            <w:r>
              <w:rPr>
                <w:rFonts w:ascii="仿宋" w:hAnsi="仿宋" w:eastAsia="仿宋"/>
                <w:sz w:val="20"/>
                <w:szCs w:val="24"/>
              </w:rPr>
              <w:t>中式面点师</w:t>
            </w:r>
          </w:p>
        </w:tc>
        <w:tc>
          <w:tcPr>
            <w:tcW w:w="1276" w:type="dxa"/>
          </w:tcPr>
          <w:p w14:paraId="4EDE84A6">
            <w:pPr>
              <w:spacing w:line="240" w:lineRule="exact"/>
              <w:ind w:firstLine="200" w:firstLineChars="100"/>
              <w:rPr>
                <w:rFonts w:ascii="仿宋" w:hAnsi="仿宋" w:eastAsia="仿宋"/>
                <w:sz w:val="20"/>
                <w:szCs w:val="24"/>
              </w:rPr>
            </w:pPr>
            <w:r>
              <w:rPr>
                <w:rFonts w:hint="eastAsia" w:ascii="仿宋" w:hAnsi="仿宋" w:eastAsia="仿宋"/>
                <w:sz w:val="20"/>
                <w:szCs w:val="24"/>
                <w:lang w:val="en-US" w:eastAsia="zh-CN"/>
              </w:rPr>
              <w:t>3</w:t>
            </w:r>
            <w:r>
              <w:rPr>
                <w:rFonts w:hint="eastAsia" w:ascii="仿宋" w:hAnsi="仿宋" w:eastAsia="仿宋"/>
                <w:sz w:val="20"/>
                <w:szCs w:val="24"/>
              </w:rPr>
              <w:t>人</w:t>
            </w:r>
          </w:p>
        </w:tc>
      </w:tr>
    </w:tbl>
    <w:p w14:paraId="3AF39480">
      <w:pPr>
        <w:autoSpaceDE w:val="0"/>
        <w:autoSpaceDN w:val="0"/>
        <w:spacing w:before="180" w:line="300" w:lineRule="atLeast"/>
        <w:ind w:left="1100"/>
        <w:rPr>
          <w:rFonts w:asciiTheme="minorEastAsia" w:hAnsiTheme="minorEastAsia"/>
          <w:sz w:val="24"/>
          <w:szCs w:val="24"/>
        </w:rPr>
      </w:pPr>
      <w:r>
        <w:rPr>
          <w:rFonts w:cs="宋体" w:asciiTheme="minorEastAsia" w:hAnsiTheme="minorEastAsia"/>
          <w:sz w:val="24"/>
          <w:szCs w:val="24"/>
        </w:rPr>
        <w:t>3、 督导人员：</w:t>
      </w:r>
    </w:p>
    <w:p w14:paraId="7DDD33D1">
      <w:pPr>
        <w:autoSpaceDE w:val="0"/>
        <w:autoSpaceDN w:val="0"/>
        <w:spacing w:line="540" w:lineRule="atLeast"/>
        <w:ind w:left="1100" w:right="140"/>
        <w:rPr>
          <w:rFonts w:asciiTheme="minorEastAsia" w:hAnsiTheme="minorEastAsia"/>
          <w:sz w:val="24"/>
          <w:szCs w:val="24"/>
        </w:rPr>
      </w:pPr>
      <w:r>
        <w:rPr>
          <w:rFonts w:cs="宋体" w:asciiTheme="minorEastAsia" w:hAnsiTheme="minorEastAsia"/>
          <w:sz w:val="24"/>
          <w:szCs w:val="24"/>
        </w:rPr>
        <w:t>外部督导人员：泰山区公共就业和人才服务中心技能人才评价管理服务科工作人员；</w:t>
      </w:r>
    </w:p>
    <w:p w14:paraId="7C01CE56">
      <w:pPr>
        <w:autoSpaceDE w:val="0"/>
        <w:autoSpaceDN w:val="0"/>
        <w:spacing w:before="240" w:line="300" w:lineRule="atLeast"/>
        <w:ind w:left="1100"/>
        <w:rPr>
          <w:rFonts w:asciiTheme="minorEastAsia" w:hAnsiTheme="minorEastAsia"/>
          <w:sz w:val="24"/>
          <w:szCs w:val="24"/>
        </w:rPr>
      </w:pPr>
      <w:r>
        <w:rPr>
          <w:rFonts w:cs="宋体" w:asciiTheme="minorEastAsia" w:hAnsiTheme="minorEastAsia"/>
          <w:sz w:val="24"/>
          <w:szCs w:val="24"/>
        </w:rPr>
        <w:t>内部督导人员：訾胜军(泰安市饭店烹饪协会会长)。</w:t>
      </w:r>
    </w:p>
    <w:p w14:paraId="5A150053">
      <w:pPr>
        <w:autoSpaceDE w:val="0"/>
        <w:autoSpaceDN w:val="0"/>
        <w:spacing w:before="240" w:line="300" w:lineRule="atLeast"/>
        <w:ind w:left="1100"/>
        <w:rPr>
          <w:rFonts w:asciiTheme="minorEastAsia" w:hAnsiTheme="minorEastAsia"/>
          <w:sz w:val="24"/>
          <w:szCs w:val="24"/>
        </w:rPr>
      </w:pPr>
      <w:r>
        <w:rPr>
          <w:rFonts w:cs="宋体" w:asciiTheme="minorEastAsia" w:hAnsiTheme="minorEastAsia"/>
          <w:color w:val="000000"/>
          <w:sz w:val="24"/>
          <w:szCs w:val="24"/>
        </w:rPr>
        <w:t>(三) 考试组织</w:t>
      </w:r>
    </w:p>
    <w:p w14:paraId="31CD6C46">
      <w:pPr>
        <w:autoSpaceDE w:val="0"/>
        <w:autoSpaceDN w:val="0"/>
        <w:spacing w:before="220" w:line="300" w:lineRule="atLeast"/>
        <w:ind w:left="1100"/>
        <w:rPr>
          <w:rFonts w:asciiTheme="minorEastAsia" w:hAnsiTheme="minorEastAsia"/>
          <w:sz w:val="24"/>
          <w:szCs w:val="24"/>
        </w:rPr>
      </w:pPr>
      <w:r>
        <w:rPr>
          <w:rFonts w:cs="宋体" w:asciiTheme="minorEastAsia" w:hAnsiTheme="minorEastAsia"/>
          <w:color w:val="000000"/>
          <w:sz w:val="24"/>
          <w:szCs w:val="24"/>
        </w:rPr>
        <w:t>1、考前准备</w:t>
      </w:r>
    </w:p>
    <w:p w14:paraId="31B78BAC">
      <w:pPr>
        <w:autoSpaceDE w:val="0"/>
        <w:autoSpaceDN w:val="0"/>
        <w:spacing w:before="240" w:line="300" w:lineRule="atLeast"/>
        <w:ind w:left="1100"/>
        <w:rPr>
          <w:rFonts w:asciiTheme="minorEastAsia" w:hAnsiTheme="minorEastAsia"/>
          <w:sz w:val="24"/>
          <w:szCs w:val="24"/>
        </w:rPr>
      </w:pPr>
      <w:r>
        <w:rPr>
          <w:rFonts w:cs="宋体" w:asciiTheme="minorEastAsia" w:hAnsiTheme="minorEastAsia"/>
          <w:color w:val="000000"/>
          <w:sz w:val="24"/>
          <w:szCs w:val="24"/>
        </w:rPr>
        <w:t>(1) 开考前一天的准备事项</w:t>
      </w:r>
    </w:p>
    <w:p w14:paraId="47608A44">
      <w:pPr>
        <w:autoSpaceDE w:val="0"/>
        <w:autoSpaceDN w:val="0"/>
        <w:spacing w:before="40" w:line="527" w:lineRule="atLeast"/>
        <w:ind w:left="960" w:right="260" w:firstLine="560"/>
        <w:rPr>
          <w:rFonts w:asciiTheme="minorEastAsia" w:hAnsiTheme="minorEastAsia"/>
          <w:sz w:val="24"/>
          <w:szCs w:val="24"/>
        </w:rPr>
      </w:pPr>
      <w:r>
        <w:rPr>
          <w:rFonts w:cs="宋体" w:asciiTheme="minorEastAsia" w:hAnsiTheme="minorEastAsia"/>
          <w:color w:val="000000"/>
          <w:sz w:val="24"/>
          <w:szCs w:val="24"/>
        </w:rPr>
        <w:t>考点张贴考场分布示意图和路标，同时张贴时间表、考试须知、考试程序安排、  《技能人才评价违纪违规行为处理工作指引(试行)》、考场规则等。提前组织考生熟悉考场、设备和工位。</w:t>
      </w:r>
    </w:p>
    <w:p w14:paraId="68542B7D">
      <w:pPr>
        <w:autoSpaceDE w:val="0"/>
        <w:autoSpaceDN w:val="0"/>
        <w:spacing w:before="240" w:line="300" w:lineRule="atLeast"/>
        <w:ind w:left="1520"/>
        <w:rPr>
          <w:rFonts w:asciiTheme="minorEastAsia" w:hAnsiTheme="minorEastAsia"/>
          <w:sz w:val="24"/>
          <w:szCs w:val="24"/>
        </w:rPr>
      </w:pPr>
      <w:r>
        <w:rPr>
          <w:rFonts w:cs="宋体" w:asciiTheme="minorEastAsia" w:hAnsiTheme="minorEastAsia"/>
          <w:color w:val="000000"/>
          <w:sz w:val="24"/>
          <w:szCs w:val="24"/>
        </w:rPr>
        <w:t>负责人：郑金锋</w:t>
      </w:r>
    </w:p>
    <w:p w14:paraId="3A568CE4">
      <w:pPr>
        <w:autoSpaceDE w:val="0"/>
        <w:autoSpaceDN w:val="0"/>
        <w:spacing w:before="20" w:line="540" w:lineRule="atLeast"/>
        <w:ind w:left="960" w:right="240" w:firstLine="560"/>
        <w:rPr>
          <w:rFonts w:asciiTheme="minorEastAsia" w:hAnsiTheme="minorEastAsia"/>
          <w:sz w:val="24"/>
          <w:szCs w:val="24"/>
        </w:rPr>
      </w:pPr>
      <w:r>
        <w:rPr>
          <w:rFonts w:cs="宋体" w:asciiTheme="minorEastAsia" w:hAnsiTheme="minorEastAsia"/>
          <w:color w:val="000000"/>
          <w:sz w:val="24"/>
          <w:szCs w:val="24"/>
        </w:rPr>
        <w:t>考点负责人检查考试机房、试卷保管、考点各考场的布置情况；审核监考人员资格，组织监考人员和考务工作人员进行考务操作培训，明确各自职责和要求。</w:t>
      </w:r>
    </w:p>
    <w:p w14:paraId="50637E55">
      <w:pPr>
        <w:autoSpaceDE w:val="0"/>
        <w:autoSpaceDN w:val="0"/>
        <w:spacing w:before="240" w:line="300" w:lineRule="atLeast"/>
        <w:ind w:left="1520"/>
        <w:rPr>
          <w:rFonts w:asciiTheme="minorEastAsia" w:hAnsiTheme="minorEastAsia"/>
          <w:sz w:val="24"/>
          <w:szCs w:val="24"/>
        </w:rPr>
      </w:pPr>
      <w:r>
        <w:rPr>
          <w:rFonts w:cs="宋体" w:asciiTheme="minorEastAsia" w:hAnsiTheme="minorEastAsia"/>
          <w:color w:val="000000"/>
          <w:sz w:val="24"/>
          <w:szCs w:val="24"/>
        </w:rPr>
        <w:t>负责人：乔伟</w:t>
      </w:r>
    </w:p>
    <w:p w14:paraId="2ECA5453">
      <w:pPr>
        <w:autoSpaceDE w:val="0"/>
        <w:autoSpaceDN w:val="0"/>
        <w:spacing w:before="260" w:line="480" w:lineRule="auto"/>
        <w:ind w:left="1100"/>
        <w:rPr>
          <w:rFonts w:asciiTheme="minorEastAsia" w:hAnsiTheme="minorEastAsia"/>
          <w:sz w:val="24"/>
          <w:szCs w:val="24"/>
        </w:rPr>
      </w:pPr>
      <w:r>
        <w:rPr>
          <w:rFonts w:cs="宋体" w:asciiTheme="minorEastAsia" w:hAnsiTheme="minorEastAsia"/>
          <w:color w:val="000000"/>
          <w:sz w:val="24"/>
          <w:szCs w:val="24"/>
        </w:rPr>
        <w:t>(2) 开考当天准备事项</w:t>
      </w:r>
    </w:p>
    <w:p w14:paraId="4AB34827">
      <w:pPr>
        <w:autoSpaceDE w:val="0"/>
        <w:autoSpaceDN w:val="0"/>
        <w:spacing w:line="480" w:lineRule="auto"/>
        <w:ind w:left="980" w:right="180" w:firstLine="540"/>
        <w:rPr>
          <w:rFonts w:asciiTheme="minorEastAsia" w:hAnsiTheme="minorEastAsia"/>
          <w:sz w:val="24"/>
          <w:szCs w:val="24"/>
        </w:rPr>
      </w:pPr>
      <w:r>
        <w:rPr>
          <w:rFonts w:cs="宋体" w:asciiTheme="minorEastAsia" w:hAnsiTheme="minorEastAsia"/>
          <w:color w:val="000000"/>
          <w:sz w:val="24"/>
          <w:szCs w:val="24"/>
        </w:rPr>
        <w:t>考点负责人组织抽签确定各考场监考人员，进一步强调考试纪律和考务要求。每场考试要随机安排考场监考人员。智能化考试前，计算机维护人员、监考人员应检查主考机是否运行到位，考试机房网络是否通畅，并做好考生考试签到工作等。</w:t>
      </w:r>
    </w:p>
    <w:p w14:paraId="57053CA9">
      <w:pPr>
        <w:autoSpaceDE w:val="0"/>
        <w:autoSpaceDN w:val="0"/>
        <w:spacing w:before="140" w:line="480" w:lineRule="auto"/>
        <w:ind w:left="1880" w:firstLine="1440" w:firstLineChars="600"/>
        <w:rPr>
          <w:rFonts w:asciiTheme="minorEastAsia" w:hAnsiTheme="minorEastAsia"/>
          <w:sz w:val="24"/>
          <w:szCs w:val="24"/>
        </w:rPr>
      </w:pPr>
      <w:r>
        <w:rPr>
          <w:rFonts w:cs="宋体" w:asciiTheme="minorEastAsia" w:hAnsiTheme="minorEastAsia"/>
          <w:color w:val="000000"/>
          <w:sz w:val="24"/>
          <w:szCs w:val="24"/>
        </w:rPr>
        <w:t>学员理论考场考生签到表</w:t>
      </w:r>
    </w:p>
    <w:p w14:paraId="0F37C3C6">
      <w:pPr>
        <w:autoSpaceDE w:val="0"/>
        <w:autoSpaceDN w:val="0"/>
        <w:spacing w:before="220" w:line="480" w:lineRule="auto"/>
        <w:ind w:left="20"/>
        <w:rPr>
          <w:rFonts w:asciiTheme="minorEastAsia" w:hAnsiTheme="minorEastAsia"/>
          <w:sz w:val="24"/>
          <w:szCs w:val="24"/>
        </w:rPr>
      </w:pPr>
      <w:r>
        <w:rPr>
          <w:rFonts w:cs="宋体" w:asciiTheme="minorEastAsia" w:hAnsiTheme="minorEastAsia"/>
          <w:color w:val="000000"/>
          <w:sz w:val="24"/>
          <w:szCs w:val="24"/>
        </w:rPr>
        <w:t>考点：泰山区龙潭路</w:t>
      </w:r>
      <w:r>
        <w:rPr>
          <w:rFonts w:hint="eastAsia" w:cs="宋体" w:asciiTheme="minorEastAsia" w:hAnsiTheme="minorEastAsia"/>
          <w:color w:val="000000"/>
          <w:sz w:val="24"/>
          <w:szCs w:val="24"/>
        </w:rPr>
        <w:t>217-2号泰安市饭店烹饪协会2楼考场</w:t>
      </w:r>
    </w:p>
    <w:p w14:paraId="11613BE1">
      <w:pPr>
        <w:autoSpaceDE w:val="0"/>
        <w:autoSpaceDN w:val="0"/>
        <w:spacing w:line="480" w:lineRule="auto"/>
        <w:ind w:left="20"/>
        <w:rPr>
          <w:rFonts w:asciiTheme="minorEastAsia" w:hAnsiTheme="minorEastAsia"/>
          <w:sz w:val="24"/>
          <w:szCs w:val="24"/>
        </w:rPr>
      </w:pPr>
      <w:r>
        <w:rPr>
          <w:rFonts w:cs="宋体" w:asciiTheme="minorEastAsia" w:hAnsiTheme="minorEastAsia"/>
          <w:color w:val="000000"/>
          <w:sz w:val="24"/>
          <w:szCs w:val="24"/>
        </w:rPr>
        <w:t>考试时间: 2024.</w:t>
      </w:r>
      <w:r>
        <w:rPr>
          <w:rFonts w:hint="eastAsia" w:cs="宋体" w:asciiTheme="minorEastAsia" w:hAnsiTheme="minorEastAsia"/>
          <w:color w:val="000000"/>
          <w:sz w:val="24"/>
          <w:szCs w:val="24"/>
          <w:lang w:val="en-US" w:eastAsia="zh-CN"/>
        </w:rPr>
        <w:t>12</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25</w:t>
      </w:r>
      <w:r>
        <w:rPr>
          <w:rFonts w:cs="宋体" w:asciiTheme="minorEastAsia" w:hAnsiTheme="minorEastAsia"/>
          <w:color w:val="000000"/>
          <w:sz w:val="24"/>
          <w:szCs w:val="24"/>
        </w:rPr>
        <w:t xml:space="preserve"> 08:30-1</w:t>
      </w:r>
      <w:r>
        <w:rPr>
          <w:rFonts w:hint="eastAsia" w:cs="宋体" w:asciiTheme="minorEastAsia" w:hAnsiTheme="minorEastAsia"/>
          <w:color w:val="000000"/>
          <w:sz w:val="24"/>
          <w:szCs w:val="24"/>
          <w:lang w:val="en-US" w:eastAsia="zh-CN"/>
        </w:rPr>
        <w:t>0</w:t>
      </w:r>
      <w:r>
        <w:rPr>
          <w:rFonts w:hint="eastAsia" w:cs="宋体" w:asciiTheme="minorEastAsia" w:hAnsiTheme="minorEastAsia"/>
          <w:color w:val="000000"/>
          <w:sz w:val="24"/>
          <w:szCs w:val="24"/>
        </w:rPr>
        <w:t>：00</w:t>
      </w:r>
    </w:p>
    <w:p w14:paraId="0AE2ABA7">
      <w:pPr>
        <w:spacing w:line="160" w:lineRule="exact"/>
        <w:rPr>
          <w:rFonts w:asciiTheme="minorEastAsia" w:hAnsiTheme="minorEastAsia"/>
          <w:sz w:val="24"/>
          <w:szCs w:val="24"/>
        </w:rPr>
      </w:pPr>
    </w:p>
    <w:tbl>
      <w:tblPr>
        <w:tblStyle w:val="5"/>
        <w:tblW w:w="0" w:type="auto"/>
        <w:tblInd w:w="3"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760"/>
        <w:gridCol w:w="900"/>
        <w:gridCol w:w="2735"/>
        <w:gridCol w:w="3118"/>
        <w:gridCol w:w="851"/>
        <w:gridCol w:w="850"/>
        <w:gridCol w:w="851"/>
      </w:tblGrid>
      <w:tr w14:paraId="601DF79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80" w:hRule="atLeast"/>
        </w:trPr>
        <w:tc>
          <w:tcPr>
            <w:tcW w:w="760" w:type="dxa"/>
            <w:vAlign w:val="center"/>
          </w:tcPr>
          <w:p w14:paraId="65C7F92D">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序号</w:t>
            </w:r>
          </w:p>
        </w:tc>
        <w:tc>
          <w:tcPr>
            <w:tcW w:w="900" w:type="dxa"/>
            <w:vAlign w:val="center"/>
          </w:tcPr>
          <w:p w14:paraId="2F8FE9AB">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姓名</w:t>
            </w:r>
          </w:p>
        </w:tc>
        <w:tc>
          <w:tcPr>
            <w:tcW w:w="2735" w:type="dxa"/>
            <w:vAlign w:val="center"/>
          </w:tcPr>
          <w:p w14:paraId="681040AE">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身份证号</w:t>
            </w:r>
          </w:p>
        </w:tc>
        <w:tc>
          <w:tcPr>
            <w:tcW w:w="3118" w:type="dxa"/>
            <w:vAlign w:val="center"/>
          </w:tcPr>
          <w:p w14:paraId="60014D56">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准考证号</w:t>
            </w:r>
          </w:p>
        </w:tc>
        <w:tc>
          <w:tcPr>
            <w:tcW w:w="851" w:type="dxa"/>
            <w:vAlign w:val="center"/>
          </w:tcPr>
          <w:p w14:paraId="69B14E7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座位号</w:t>
            </w:r>
          </w:p>
        </w:tc>
        <w:tc>
          <w:tcPr>
            <w:tcW w:w="850" w:type="dxa"/>
            <w:vAlign w:val="center"/>
          </w:tcPr>
          <w:p w14:paraId="190B26BF">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签到</w:t>
            </w:r>
          </w:p>
        </w:tc>
        <w:tc>
          <w:tcPr>
            <w:tcW w:w="851" w:type="dxa"/>
            <w:vAlign w:val="center"/>
          </w:tcPr>
          <w:p w14:paraId="3DE89B81">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备注</w:t>
            </w:r>
          </w:p>
        </w:tc>
      </w:tr>
      <w:tr w14:paraId="18776A0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0" w:hRule="atLeast"/>
        </w:trPr>
        <w:tc>
          <w:tcPr>
            <w:tcW w:w="760" w:type="dxa"/>
            <w:vAlign w:val="center"/>
          </w:tcPr>
          <w:p w14:paraId="2E9A1351">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900" w:type="dxa"/>
            <w:vAlign w:val="center"/>
          </w:tcPr>
          <w:p w14:paraId="74E4BB74">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w:t>
            </w:r>
          </w:p>
        </w:tc>
        <w:tc>
          <w:tcPr>
            <w:tcW w:w="2735" w:type="dxa"/>
            <w:vAlign w:val="center"/>
          </w:tcPr>
          <w:p w14:paraId="02FDB37A">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3709111982×××××××</w:t>
            </w:r>
          </w:p>
        </w:tc>
        <w:tc>
          <w:tcPr>
            <w:tcW w:w="3118" w:type="dxa"/>
            <w:vAlign w:val="center"/>
          </w:tcPr>
          <w:p w14:paraId="302BCCCA">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240121S00003709×××××××</w:t>
            </w:r>
          </w:p>
        </w:tc>
        <w:tc>
          <w:tcPr>
            <w:tcW w:w="851" w:type="dxa"/>
            <w:vAlign w:val="center"/>
          </w:tcPr>
          <w:p w14:paraId="790C240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850" w:type="dxa"/>
            <w:vAlign w:val="center"/>
          </w:tcPr>
          <w:p w14:paraId="3EB80B3F">
            <w:pPr>
              <w:spacing w:line="240" w:lineRule="exact"/>
              <w:rPr>
                <w:rFonts w:ascii="仿宋" w:hAnsi="仿宋" w:eastAsia="仿宋"/>
                <w:sz w:val="20"/>
                <w:szCs w:val="24"/>
              </w:rPr>
            </w:pPr>
          </w:p>
        </w:tc>
        <w:tc>
          <w:tcPr>
            <w:tcW w:w="851" w:type="dxa"/>
            <w:vAlign w:val="center"/>
          </w:tcPr>
          <w:p w14:paraId="4AB8E4A0">
            <w:pPr>
              <w:spacing w:line="240" w:lineRule="exact"/>
              <w:rPr>
                <w:rFonts w:ascii="仿宋" w:hAnsi="仿宋" w:eastAsia="仿宋"/>
                <w:sz w:val="20"/>
                <w:szCs w:val="24"/>
              </w:rPr>
            </w:pPr>
          </w:p>
        </w:tc>
      </w:tr>
      <w:tr w14:paraId="1DA10E7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0" w:hRule="atLeast"/>
        </w:trPr>
        <w:tc>
          <w:tcPr>
            <w:tcW w:w="760" w:type="dxa"/>
            <w:vAlign w:val="center"/>
          </w:tcPr>
          <w:p w14:paraId="0BA3103D">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900" w:type="dxa"/>
            <w:vAlign w:val="center"/>
          </w:tcPr>
          <w:p w14:paraId="0B89DD4A">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w:t>
            </w:r>
          </w:p>
        </w:tc>
        <w:tc>
          <w:tcPr>
            <w:tcW w:w="2735" w:type="dxa"/>
            <w:vAlign w:val="center"/>
          </w:tcPr>
          <w:p w14:paraId="6511394C">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3709021979×××××××</w:t>
            </w:r>
          </w:p>
        </w:tc>
        <w:tc>
          <w:tcPr>
            <w:tcW w:w="3118" w:type="dxa"/>
            <w:vAlign w:val="center"/>
          </w:tcPr>
          <w:p w14:paraId="18A9239F">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240121S000037090×××××××</w:t>
            </w:r>
          </w:p>
        </w:tc>
        <w:tc>
          <w:tcPr>
            <w:tcW w:w="851" w:type="dxa"/>
            <w:vAlign w:val="center"/>
          </w:tcPr>
          <w:p w14:paraId="236C6D5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850" w:type="dxa"/>
            <w:vAlign w:val="center"/>
          </w:tcPr>
          <w:p w14:paraId="3D25BAAD">
            <w:pPr>
              <w:spacing w:line="240" w:lineRule="exact"/>
              <w:rPr>
                <w:rFonts w:ascii="仿宋" w:hAnsi="仿宋" w:eastAsia="仿宋"/>
                <w:sz w:val="20"/>
                <w:szCs w:val="24"/>
              </w:rPr>
            </w:pPr>
          </w:p>
        </w:tc>
        <w:tc>
          <w:tcPr>
            <w:tcW w:w="851" w:type="dxa"/>
            <w:vAlign w:val="center"/>
          </w:tcPr>
          <w:p w14:paraId="09042137">
            <w:pPr>
              <w:spacing w:line="240" w:lineRule="exact"/>
              <w:rPr>
                <w:rFonts w:ascii="仿宋" w:hAnsi="仿宋" w:eastAsia="仿宋"/>
                <w:sz w:val="20"/>
                <w:szCs w:val="24"/>
              </w:rPr>
            </w:pPr>
          </w:p>
        </w:tc>
      </w:tr>
    </w:tbl>
    <w:p w14:paraId="794508F8">
      <w:pPr>
        <w:autoSpaceDE w:val="0"/>
        <w:autoSpaceDN w:val="0"/>
        <w:spacing w:before="680" w:line="380" w:lineRule="atLeast"/>
        <w:ind w:firstLine="3120" w:firstLineChars="1300"/>
        <w:rPr>
          <w:rFonts w:asciiTheme="minorEastAsia" w:hAnsiTheme="minorEastAsia"/>
          <w:sz w:val="24"/>
          <w:szCs w:val="24"/>
        </w:rPr>
      </w:pPr>
      <w:r>
        <w:rPr>
          <w:rFonts w:cs="宋体" w:asciiTheme="minorEastAsia" w:hAnsiTheme="minorEastAsia"/>
          <w:color w:val="000000"/>
          <w:sz w:val="24"/>
          <w:szCs w:val="24"/>
        </w:rPr>
        <w:t>学员技能操作考场考生签到表</w:t>
      </w:r>
    </w:p>
    <w:p w14:paraId="5E7B794F">
      <w:pPr>
        <w:autoSpaceDE w:val="0"/>
        <w:autoSpaceDN w:val="0"/>
        <w:spacing w:before="320" w:line="276" w:lineRule="auto"/>
        <w:rPr>
          <w:rFonts w:asciiTheme="minorEastAsia" w:hAnsiTheme="minorEastAsia"/>
          <w:sz w:val="24"/>
        </w:rPr>
      </w:pPr>
      <w:r>
        <w:rPr>
          <w:rFonts w:cs="宋体" w:asciiTheme="minorEastAsia" w:hAnsiTheme="minorEastAsia"/>
          <w:color w:val="000000"/>
          <w:sz w:val="24"/>
          <w:szCs w:val="24"/>
        </w:rPr>
        <w:t>考点：</w:t>
      </w:r>
      <w:r>
        <w:rPr>
          <w:rFonts w:asciiTheme="minorEastAsia" w:hAnsiTheme="minorEastAsia"/>
          <w:sz w:val="24"/>
        </w:rPr>
        <w:t>泰安市泰山区岱宗大街</w:t>
      </w:r>
      <w:r>
        <w:rPr>
          <w:rFonts w:hint="eastAsia" w:asciiTheme="minorEastAsia" w:hAnsiTheme="minorEastAsia"/>
          <w:sz w:val="24"/>
        </w:rPr>
        <w:t>566号巨鼎云海生态园</w:t>
      </w:r>
    </w:p>
    <w:p w14:paraId="076ADF11">
      <w:pPr>
        <w:autoSpaceDE w:val="0"/>
        <w:autoSpaceDN w:val="0"/>
        <w:spacing w:before="280" w:line="260" w:lineRule="atLeast"/>
        <w:ind w:left="20"/>
        <w:rPr>
          <w:rFonts w:asciiTheme="minorEastAsia" w:hAnsiTheme="minorEastAsia"/>
          <w:sz w:val="24"/>
          <w:szCs w:val="24"/>
        </w:rPr>
      </w:pPr>
      <w:r>
        <w:rPr>
          <w:rFonts w:cs="宋体" w:asciiTheme="minorEastAsia" w:hAnsiTheme="minorEastAsia"/>
          <w:color w:val="000000"/>
          <w:sz w:val="24"/>
          <w:szCs w:val="24"/>
        </w:rPr>
        <w:t>考试时间: 2024.</w:t>
      </w:r>
      <w:r>
        <w:rPr>
          <w:rFonts w:hint="eastAsia" w:cs="宋体" w:asciiTheme="minorEastAsia" w:hAnsiTheme="minorEastAsia"/>
          <w:color w:val="000000"/>
          <w:sz w:val="24"/>
          <w:szCs w:val="24"/>
          <w:lang w:val="en-US" w:eastAsia="zh-CN"/>
        </w:rPr>
        <w:t>12</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25</w:t>
      </w:r>
      <w:r>
        <w:rPr>
          <w:rFonts w:cs="宋体" w:asciiTheme="minorEastAsia" w:hAnsiTheme="minorEastAsia"/>
          <w:color w:val="000000"/>
          <w:sz w:val="24"/>
          <w:szCs w:val="24"/>
        </w:rPr>
        <w:t xml:space="preserve"> </w:t>
      </w:r>
      <w:r>
        <w:rPr>
          <w:rFonts w:hint="eastAsia" w:cs="宋体" w:asciiTheme="minorEastAsia" w:hAnsiTheme="minorEastAsia"/>
          <w:color w:val="000000"/>
          <w:sz w:val="24"/>
          <w:szCs w:val="24"/>
        </w:rPr>
        <w:t xml:space="preserve">   14</w:t>
      </w:r>
      <w:r>
        <w:rPr>
          <w:rFonts w:cs="宋体" w:asciiTheme="minorEastAsia" w:hAnsiTheme="minorEastAsia"/>
          <w:color w:val="000000"/>
          <w:sz w:val="24"/>
          <w:szCs w:val="24"/>
        </w:rPr>
        <w:t>:</w:t>
      </w:r>
      <w:r>
        <w:rPr>
          <w:rFonts w:hint="eastAsia" w:cs="宋体" w:asciiTheme="minorEastAsia" w:hAnsiTheme="minorEastAsia"/>
          <w:color w:val="000000"/>
          <w:sz w:val="24"/>
          <w:szCs w:val="24"/>
        </w:rPr>
        <w:t>0</w:t>
      </w:r>
      <w:r>
        <w:rPr>
          <w:rFonts w:cs="宋体" w:asciiTheme="minorEastAsia" w:hAnsiTheme="minorEastAsia"/>
          <w:color w:val="000000"/>
          <w:sz w:val="24"/>
          <w:szCs w:val="24"/>
        </w:rPr>
        <w:t>0-1</w:t>
      </w:r>
      <w:r>
        <w:rPr>
          <w:rFonts w:hint="eastAsia" w:cs="宋体" w:asciiTheme="minorEastAsia" w:hAnsiTheme="minorEastAsia"/>
          <w:color w:val="000000"/>
          <w:sz w:val="24"/>
          <w:szCs w:val="24"/>
          <w:lang w:val="en-US" w:eastAsia="zh-CN"/>
        </w:rPr>
        <w:t>6</w:t>
      </w:r>
      <w:r>
        <w:rPr>
          <w:rFonts w:cs="宋体" w:asciiTheme="minorEastAsia" w:hAnsiTheme="minorEastAsia"/>
          <w:color w:val="000000"/>
          <w:sz w:val="24"/>
          <w:szCs w:val="24"/>
        </w:rPr>
        <w:t>:00</w:t>
      </w:r>
    </w:p>
    <w:p w14:paraId="393ECDD4">
      <w:pPr>
        <w:spacing w:line="160" w:lineRule="exact"/>
        <w:rPr>
          <w:rFonts w:asciiTheme="minorEastAsia" w:hAnsiTheme="minorEastAsia"/>
          <w:sz w:val="24"/>
          <w:szCs w:val="24"/>
        </w:rPr>
      </w:pPr>
    </w:p>
    <w:tbl>
      <w:tblPr>
        <w:tblStyle w:val="5"/>
        <w:tblW w:w="0" w:type="auto"/>
        <w:tblInd w:w="3"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700"/>
        <w:gridCol w:w="840"/>
        <w:gridCol w:w="2571"/>
        <w:gridCol w:w="3089"/>
        <w:gridCol w:w="1040"/>
        <w:gridCol w:w="760"/>
        <w:gridCol w:w="720"/>
      </w:tblGrid>
      <w:tr w14:paraId="4ADA822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00" w:hRule="atLeast"/>
        </w:trPr>
        <w:tc>
          <w:tcPr>
            <w:tcW w:w="700" w:type="dxa"/>
            <w:vAlign w:val="center"/>
          </w:tcPr>
          <w:p w14:paraId="552314A8">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序号</w:t>
            </w:r>
          </w:p>
        </w:tc>
        <w:tc>
          <w:tcPr>
            <w:tcW w:w="840" w:type="dxa"/>
            <w:vAlign w:val="center"/>
          </w:tcPr>
          <w:p w14:paraId="7CB1270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姓名</w:t>
            </w:r>
          </w:p>
        </w:tc>
        <w:tc>
          <w:tcPr>
            <w:tcW w:w="2571" w:type="dxa"/>
            <w:vAlign w:val="center"/>
          </w:tcPr>
          <w:p w14:paraId="74DADE29">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身份证号</w:t>
            </w:r>
          </w:p>
        </w:tc>
        <w:tc>
          <w:tcPr>
            <w:tcW w:w="3089" w:type="dxa"/>
            <w:vAlign w:val="center"/>
          </w:tcPr>
          <w:p w14:paraId="12716C87">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准考证号</w:t>
            </w:r>
          </w:p>
        </w:tc>
        <w:tc>
          <w:tcPr>
            <w:tcW w:w="1040" w:type="dxa"/>
            <w:vAlign w:val="center"/>
          </w:tcPr>
          <w:p w14:paraId="74FC7769">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座位号</w:t>
            </w:r>
          </w:p>
        </w:tc>
        <w:tc>
          <w:tcPr>
            <w:tcW w:w="760" w:type="dxa"/>
            <w:vAlign w:val="center"/>
          </w:tcPr>
          <w:p w14:paraId="1F6CC279">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签到</w:t>
            </w:r>
          </w:p>
        </w:tc>
        <w:tc>
          <w:tcPr>
            <w:tcW w:w="720" w:type="dxa"/>
            <w:vAlign w:val="center"/>
          </w:tcPr>
          <w:p w14:paraId="2D8A4B89">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备注</w:t>
            </w:r>
          </w:p>
        </w:tc>
      </w:tr>
      <w:tr w14:paraId="5D6419B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0" w:hRule="atLeast"/>
        </w:trPr>
        <w:tc>
          <w:tcPr>
            <w:tcW w:w="700" w:type="dxa"/>
            <w:vAlign w:val="center"/>
          </w:tcPr>
          <w:p w14:paraId="13270175">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840" w:type="dxa"/>
            <w:vAlign w:val="center"/>
          </w:tcPr>
          <w:p w14:paraId="61A6A56A">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w:t>
            </w:r>
          </w:p>
        </w:tc>
        <w:tc>
          <w:tcPr>
            <w:tcW w:w="2571" w:type="dxa"/>
            <w:vAlign w:val="center"/>
          </w:tcPr>
          <w:p w14:paraId="689F086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3709111982×××××××</w:t>
            </w:r>
          </w:p>
        </w:tc>
        <w:tc>
          <w:tcPr>
            <w:tcW w:w="3089" w:type="dxa"/>
            <w:vAlign w:val="center"/>
          </w:tcPr>
          <w:p w14:paraId="46E81B20">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240121S00003709×××××××</w:t>
            </w:r>
          </w:p>
        </w:tc>
        <w:tc>
          <w:tcPr>
            <w:tcW w:w="1040" w:type="dxa"/>
            <w:vAlign w:val="center"/>
          </w:tcPr>
          <w:p w14:paraId="26F6F70B">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760" w:type="dxa"/>
            <w:vAlign w:val="center"/>
          </w:tcPr>
          <w:p w14:paraId="67616122">
            <w:pPr>
              <w:spacing w:line="240" w:lineRule="exact"/>
              <w:rPr>
                <w:rFonts w:ascii="仿宋" w:hAnsi="仿宋" w:eastAsia="仿宋"/>
                <w:sz w:val="20"/>
                <w:szCs w:val="24"/>
              </w:rPr>
            </w:pPr>
          </w:p>
        </w:tc>
        <w:tc>
          <w:tcPr>
            <w:tcW w:w="720" w:type="dxa"/>
            <w:vAlign w:val="center"/>
          </w:tcPr>
          <w:p w14:paraId="48597AF1">
            <w:pPr>
              <w:spacing w:line="240" w:lineRule="exact"/>
              <w:rPr>
                <w:rFonts w:ascii="仿宋" w:hAnsi="仿宋" w:eastAsia="仿宋"/>
                <w:sz w:val="20"/>
                <w:szCs w:val="24"/>
              </w:rPr>
            </w:pPr>
          </w:p>
        </w:tc>
      </w:tr>
      <w:tr w14:paraId="41DE089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0" w:hRule="atLeast"/>
        </w:trPr>
        <w:tc>
          <w:tcPr>
            <w:tcW w:w="700" w:type="dxa"/>
            <w:vAlign w:val="center"/>
          </w:tcPr>
          <w:p w14:paraId="59C958F7">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840" w:type="dxa"/>
            <w:vAlign w:val="center"/>
          </w:tcPr>
          <w:p w14:paraId="53B6D4E8">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w:t>
            </w:r>
          </w:p>
        </w:tc>
        <w:tc>
          <w:tcPr>
            <w:tcW w:w="2571" w:type="dxa"/>
            <w:vAlign w:val="center"/>
          </w:tcPr>
          <w:p w14:paraId="21C0EC76">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3709021979×××××××</w:t>
            </w:r>
          </w:p>
        </w:tc>
        <w:tc>
          <w:tcPr>
            <w:tcW w:w="3089" w:type="dxa"/>
            <w:vAlign w:val="center"/>
          </w:tcPr>
          <w:p w14:paraId="627EA146">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240121S000037090×××××××</w:t>
            </w:r>
          </w:p>
        </w:tc>
        <w:tc>
          <w:tcPr>
            <w:tcW w:w="1040" w:type="dxa"/>
            <w:vAlign w:val="center"/>
          </w:tcPr>
          <w:p w14:paraId="6B11E8DA">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760" w:type="dxa"/>
            <w:vAlign w:val="center"/>
          </w:tcPr>
          <w:p w14:paraId="5C3C03D9">
            <w:pPr>
              <w:spacing w:line="240" w:lineRule="exact"/>
              <w:rPr>
                <w:rFonts w:ascii="仿宋" w:hAnsi="仿宋" w:eastAsia="仿宋"/>
                <w:sz w:val="20"/>
                <w:szCs w:val="24"/>
              </w:rPr>
            </w:pPr>
          </w:p>
        </w:tc>
        <w:tc>
          <w:tcPr>
            <w:tcW w:w="720" w:type="dxa"/>
            <w:vAlign w:val="center"/>
          </w:tcPr>
          <w:p w14:paraId="7DA376A9">
            <w:pPr>
              <w:spacing w:line="240" w:lineRule="exact"/>
              <w:rPr>
                <w:rFonts w:ascii="仿宋" w:hAnsi="仿宋" w:eastAsia="仿宋"/>
                <w:sz w:val="20"/>
                <w:szCs w:val="24"/>
              </w:rPr>
            </w:pPr>
          </w:p>
        </w:tc>
      </w:tr>
    </w:tbl>
    <w:p w14:paraId="13CFB17D">
      <w:pPr>
        <w:autoSpaceDE w:val="0"/>
        <w:autoSpaceDN w:val="0"/>
        <w:spacing w:before="720" w:line="260" w:lineRule="atLeast"/>
        <w:ind w:left="540"/>
        <w:rPr>
          <w:rFonts w:asciiTheme="minorEastAsia" w:hAnsiTheme="minorEastAsia"/>
          <w:sz w:val="24"/>
          <w:szCs w:val="24"/>
        </w:rPr>
      </w:pPr>
      <w:r>
        <w:rPr>
          <w:rFonts w:cs="宋体" w:asciiTheme="minorEastAsia" w:hAnsiTheme="minorEastAsia"/>
          <w:color w:val="000000"/>
          <w:sz w:val="24"/>
          <w:szCs w:val="24"/>
        </w:rPr>
        <w:t>考点负责人：訾胜军</w:t>
      </w:r>
    </w:p>
    <w:p w14:paraId="2F21C736">
      <w:pPr>
        <w:autoSpaceDE w:val="0"/>
        <w:autoSpaceDN w:val="0"/>
        <w:spacing w:before="280" w:line="260" w:lineRule="atLeast"/>
        <w:ind w:left="540"/>
        <w:rPr>
          <w:rFonts w:cs="宋体" w:asciiTheme="minorEastAsia" w:hAnsiTheme="minorEastAsia"/>
          <w:color w:val="000000" w:themeColor="text1"/>
          <w:sz w:val="24"/>
          <w:szCs w:val="24"/>
          <w14:textFill>
            <w14:solidFill>
              <w14:schemeClr w14:val="tx1"/>
            </w14:solidFill>
          </w14:textFill>
        </w:rPr>
      </w:pPr>
      <w:r>
        <w:rPr>
          <w:rFonts w:cs="宋体" w:asciiTheme="minorEastAsia" w:hAnsiTheme="minorEastAsia"/>
          <w:color w:val="000000" w:themeColor="text1"/>
          <w:sz w:val="24"/>
          <w:szCs w:val="24"/>
          <w14:textFill>
            <w14:solidFill>
              <w14:schemeClr w14:val="tx1"/>
            </w14:solidFill>
          </w14:textFill>
        </w:rPr>
        <w:t>理论考场监考人员</w:t>
      </w:r>
      <w:r>
        <w:rPr>
          <w:rFonts w:hint="eastAsia" w:cs="宋体" w:asciiTheme="minorEastAsia" w:hAnsiTheme="minorEastAsia"/>
          <w:color w:val="000000" w:themeColor="text1"/>
          <w:sz w:val="24"/>
          <w:szCs w:val="24"/>
          <w14:textFill>
            <w14:solidFill>
              <w14:schemeClr w14:val="tx1"/>
            </w14:solidFill>
          </w14:textFill>
        </w:rPr>
        <w:t>2</w:t>
      </w:r>
      <w:r>
        <w:rPr>
          <w:rFonts w:cs="宋体" w:asciiTheme="minorEastAsia" w:hAnsiTheme="minorEastAsia"/>
          <w:color w:val="000000" w:themeColor="text1"/>
          <w:sz w:val="24"/>
          <w:szCs w:val="24"/>
          <w14:textFill>
            <w14:solidFill>
              <w14:schemeClr w14:val="tx1"/>
            </w14:solidFill>
          </w14:textFill>
        </w:rPr>
        <w:t>名：郑金锋、乔伟</w:t>
      </w:r>
    </w:p>
    <w:p w14:paraId="2970F274">
      <w:pPr>
        <w:autoSpaceDE w:val="0"/>
        <w:autoSpaceDN w:val="0"/>
        <w:spacing w:before="280" w:line="260" w:lineRule="atLeast"/>
        <w:ind w:left="540"/>
        <w:rPr>
          <w:rFonts w:asciiTheme="minorEastAsia" w:hAnsiTheme="minorEastAsia"/>
          <w:color w:val="000000" w:themeColor="text1"/>
          <w:sz w:val="24"/>
          <w:szCs w:val="24"/>
          <w14:textFill>
            <w14:solidFill>
              <w14:schemeClr w14:val="tx1"/>
            </w14:solidFill>
          </w14:textFill>
        </w:rPr>
      </w:pPr>
      <w:r>
        <w:rPr>
          <w:rFonts w:cs="宋体" w:asciiTheme="minorEastAsia" w:hAnsiTheme="minorEastAsia"/>
          <w:color w:val="000000" w:themeColor="text1"/>
          <w:sz w:val="24"/>
          <w:szCs w:val="24"/>
          <w14:textFill>
            <w14:solidFill>
              <w14:schemeClr w14:val="tx1"/>
            </w14:solidFill>
          </w14:textFill>
        </w:rPr>
        <w:t>计算机维护人员1名：郑金锋</w:t>
      </w:r>
    </w:p>
    <w:p w14:paraId="622FD3B4">
      <w:pPr>
        <w:autoSpaceDE w:val="0"/>
        <w:autoSpaceDN w:val="0"/>
        <w:spacing w:before="300" w:line="260" w:lineRule="atLeast"/>
        <w:ind w:left="540"/>
        <w:rPr>
          <w:rFonts w:asciiTheme="minorEastAsia" w:hAnsiTheme="minorEastAsia"/>
          <w:color w:val="000000" w:themeColor="text1"/>
          <w:sz w:val="24"/>
          <w:szCs w:val="24"/>
          <w14:textFill>
            <w14:solidFill>
              <w14:schemeClr w14:val="tx1"/>
            </w14:solidFill>
          </w14:textFill>
        </w:rPr>
      </w:pPr>
      <w:r>
        <w:rPr>
          <w:rFonts w:cs="宋体" w:asciiTheme="minorEastAsia" w:hAnsiTheme="minorEastAsia"/>
          <w:color w:val="000000" w:themeColor="text1"/>
          <w:sz w:val="24"/>
          <w:szCs w:val="24"/>
          <w14:textFill>
            <w14:solidFill>
              <w14:schemeClr w14:val="tx1"/>
            </w14:solidFill>
          </w14:textFill>
        </w:rPr>
        <w:t>签到负责人：乔伟、郑金锋</w:t>
      </w:r>
    </w:p>
    <w:p w14:paraId="01380DF1">
      <w:pPr>
        <w:autoSpaceDE w:val="0"/>
        <w:autoSpaceDN w:val="0"/>
        <w:spacing w:before="20" w:line="540" w:lineRule="atLeast"/>
        <w:ind w:left="420" w:leftChars="200" w:right="640" w:firstLine="480" w:firstLineChars="200"/>
        <w:rPr>
          <w:rFonts w:asciiTheme="minorEastAsia" w:hAnsiTheme="minorEastAsia"/>
          <w:sz w:val="24"/>
          <w:szCs w:val="24"/>
        </w:rPr>
      </w:pPr>
      <w:r>
        <w:rPr>
          <w:rFonts w:cs="宋体" w:asciiTheme="minorEastAsia" w:hAnsiTheme="minorEastAsia"/>
          <w:color w:val="000000"/>
          <w:sz w:val="24"/>
          <w:szCs w:val="24"/>
        </w:rPr>
        <w:t>技能操作考核考评人员：</w:t>
      </w:r>
      <w:r>
        <w:rPr>
          <w:rFonts w:hint="eastAsia" w:cs="宋体" w:asciiTheme="minorEastAsia" w:hAnsiTheme="minorEastAsia"/>
          <w:color w:val="000000" w:themeColor="text1"/>
          <w:sz w:val="24"/>
          <w:szCs w:val="24"/>
          <w14:textFill>
            <w14:solidFill>
              <w14:schemeClr w14:val="tx1"/>
            </w14:solidFill>
          </w14:textFill>
        </w:rPr>
        <w:t>窦贤逢、</w:t>
      </w:r>
      <w:r>
        <w:rPr>
          <w:rFonts w:hint="eastAsia" w:cs="宋体" w:asciiTheme="minorEastAsia" w:hAnsiTheme="minorEastAsia"/>
          <w:color w:val="000000" w:themeColor="text1"/>
          <w:sz w:val="24"/>
          <w:szCs w:val="24"/>
          <w:lang w:val="en-US" w:eastAsia="zh-CN"/>
          <w14:textFill>
            <w14:solidFill>
              <w14:schemeClr w14:val="tx1"/>
            </w14:solidFill>
          </w14:textFill>
        </w:rPr>
        <w:t>郑金锋、关忠、王文霞</w:t>
      </w:r>
      <w:r>
        <w:rPr>
          <w:rFonts w:cs="宋体" w:asciiTheme="minorEastAsia" w:hAnsiTheme="minorEastAsia"/>
          <w:color w:val="000000"/>
          <w:sz w:val="24"/>
          <w:szCs w:val="24"/>
        </w:rPr>
        <w:t>应检查考核场地、设备、工位器具及所用材料。</w:t>
      </w:r>
    </w:p>
    <w:p w14:paraId="2BEBFC0F">
      <w:pPr>
        <w:autoSpaceDE w:val="0"/>
        <w:autoSpaceDN w:val="0"/>
        <w:spacing w:before="20" w:line="527" w:lineRule="atLeast"/>
        <w:ind w:left="420" w:leftChars="200" w:right="660" w:firstLine="480" w:firstLineChars="200"/>
        <w:rPr>
          <w:rFonts w:asciiTheme="minorEastAsia" w:hAnsiTheme="minorEastAsia"/>
          <w:sz w:val="24"/>
          <w:szCs w:val="24"/>
        </w:rPr>
      </w:pPr>
      <w:r>
        <w:rPr>
          <w:rFonts w:cs="宋体" w:asciiTheme="minorEastAsia" w:hAnsiTheme="minorEastAsia"/>
          <w:color w:val="000000"/>
          <w:sz w:val="24"/>
          <w:szCs w:val="24"/>
        </w:rPr>
        <w:t>质量督导人员外部督导人员：泰山区公共就业和人才服务中心技能人才评价管理服务科工作人员，内部督导人员：訾胜军，应对人员到岗情况以及考前会议、试卷配备等情况进行全面检查，发现问题及时纠正并上报。</w:t>
      </w:r>
    </w:p>
    <w:p w14:paraId="489D4C56">
      <w:pPr>
        <w:autoSpaceDE w:val="0"/>
        <w:autoSpaceDN w:val="0"/>
        <w:spacing w:before="260" w:line="260" w:lineRule="atLeast"/>
        <w:ind w:left="20"/>
        <w:rPr>
          <w:rFonts w:asciiTheme="minorEastAsia" w:hAnsiTheme="minorEastAsia"/>
          <w:sz w:val="24"/>
          <w:szCs w:val="24"/>
        </w:rPr>
      </w:pPr>
      <w:r>
        <w:rPr>
          <w:rFonts w:cs="宋体" w:asciiTheme="minorEastAsia" w:hAnsiTheme="minorEastAsia"/>
          <w:color w:val="000000"/>
          <w:sz w:val="24"/>
          <w:szCs w:val="24"/>
        </w:rPr>
        <w:t>2、考试过程管理</w:t>
      </w:r>
    </w:p>
    <w:p w14:paraId="64475013">
      <w:pPr>
        <w:autoSpaceDE w:val="0"/>
        <w:autoSpaceDN w:val="0"/>
        <w:spacing w:before="260" w:line="260" w:lineRule="atLeast"/>
        <w:ind w:left="20" w:firstLine="480" w:firstLineChars="200"/>
        <w:rPr>
          <w:rFonts w:asciiTheme="minorEastAsia" w:hAnsiTheme="minorEastAsia"/>
          <w:sz w:val="24"/>
          <w:szCs w:val="24"/>
        </w:rPr>
      </w:pPr>
      <w:r>
        <w:rPr>
          <w:rFonts w:cs="宋体" w:asciiTheme="minorEastAsia" w:hAnsiTheme="minorEastAsia"/>
          <w:color w:val="000000"/>
          <w:sz w:val="24"/>
          <w:szCs w:val="24"/>
        </w:rPr>
        <w:t>(1) 考务要求</w:t>
      </w:r>
    </w:p>
    <w:p w14:paraId="61D17EFA">
      <w:pPr>
        <w:autoSpaceDE w:val="0"/>
        <w:autoSpaceDN w:val="0"/>
        <w:spacing w:before="40" w:line="520" w:lineRule="atLeast"/>
        <w:ind w:left="210" w:leftChars="100" w:right="280" w:firstLine="480" w:firstLineChars="200"/>
        <w:rPr>
          <w:rFonts w:asciiTheme="minorEastAsia" w:hAnsiTheme="minorEastAsia"/>
          <w:sz w:val="24"/>
          <w:szCs w:val="24"/>
        </w:rPr>
      </w:pPr>
      <w:r>
        <w:rPr>
          <w:rFonts w:cs="宋体" w:asciiTheme="minorEastAsia" w:hAnsiTheme="minorEastAsia"/>
          <w:color w:val="000000"/>
          <w:sz w:val="24"/>
          <w:szCs w:val="24"/>
        </w:rPr>
        <w:t>应掌握考试时间，理论知识考试、技能操作考核开考30分钟后，考生不得进入考场。考生交卷退场时间不得早于考试结束前30分钟。</w:t>
      </w:r>
    </w:p>
    <w:p w14:paraId="61B2D2FF">
      <w:pPr>
        <w:autoSpaceDE w:val="0"/>
        <w:autoSpaceDN w:val="0"/>
        <w:spacing w:before="26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(2) 人员分工(各岗位人员均需佩戴工作证牌)</w:t>
      </w:r>
    </w:p>
    <w:p w14:paraId="7032043B">
      <w:pPr>
        <w:autoSpaceDE w:val="0"/>
        <w:autoSpaceDN w:val="0"/>
        <w:spacing w:line="540" w:lineRule="atLeast"/>
        <w:ind w:left="210" w:leftChars="100" w:right="260" w:firstLine="480" w:firstLineChars="200"/>
        <w:rPr>
          <w:rFonts w:asciiTheme="minorEastAsia" w:hAnsiTheme="minorEastAsia"/>
          <w:sz w:val="24"/>
          <w:szCs w:val="24"/>
        </w:rPr>
      </w:pPr>
      <w:r>
        <w:rPr>
          <w:rFonts w:cs="宋体" w:asciiTheme="minorEastAsia" w:hAnsiTheme="minorEastAsia"/>
          <w:color w:val="000000"/>
          <w:sz w:val="24"/>
          <w:szCs w:val="24"/>
        </w:rPr>
        <w:t>负责人訾胜军做好考试各环节的协调工作，掌握考试时间，处理各类突发情况；检查督促监考人员和考务工作人员履行职责，执行考试纪律；对考试期间发生的各类异常事件或难以处理的问题，及时记录并上报； 遇到严重影响考试公平公正的作弊事件，及时向公安机关报案。</w:t>
      </w:r>
    </w:p>
    <w:p w14:paraId="27B6D1E1">
      <w:pPr>
        <w:autoSpaceDE w:val="0"/>
        <w:autoSpaceDN w:val="0"/>
        <w:spacing w:line="540" w:lineRule="atLeast"/>
        <w:ind w:left="239" w:leftChars="114" w:right="260" w:firstLine="480" w:firstLineChars="200"/>
        <w:rPr>
          <w:rFonts w:asciiTheme="minorEastAsia" w:hAnsiTheme="minorEastAsia"/>
          <w:sz w:val="24"/>
          <w:szCs w:val="24"/>
        </w:rPr>
      </w:pPr>
      <w:r>
        <w:rPr>
          <w:rFonts w:cs="宋体" w:asciiTheme="minorEastAsia" w:hAnsiTheme="minorEastAsia"/>
          <w:color w:val="000000"/>
          <w:sz w:val="24"/>
          <w:szCs w:val="24"/>
        </w:rPr>
        <w:t>监考人员：郑金锋</w:t>
      </w:r>
      <w:r>
        <w:rPr>
          <w:rFonts w:cs="宋体" w:asciiTheme="minorEastAsia" w:hAnsiTheme="minorEastAsia"/>
          <w:color w:val="000000" w:themeColor="text1"/>
          <w:sz w:val="24"/>
          <w:szCs w:val="24"/>
          <w14:textFill>
            <w14:solidFill>
              <w14:schemeClr w14:val="tx1"/>
            </w14:solidFill>
          </w14:textFill>
        </w:rPr>
        <w:t>、乔伟</w:t>
      </w:r>
      <w:r>
        <w:rPr>
          <w:rFonts w:cs="宋体" w:asciiTheme="minorEastAsia" w:hAnsiTheme="minorEastAsia"/>
          <w:color w:val="000000"/>
          <w:sz w:val="24"/>
          <w:szCs w:val="24"/>
        </w:rPr>
        <w:t>对考生进行身份识别，检查考生有无夹带违禁物品；组织考生签到；宣读考场规则，对考生进行考风考纪教育；指导考生正确使用考试机，准确填写有关信息；做好考试现场的监督、检查工作，严格执行考场纪律，如实记录违纪情况，并及时向督导人员报告。</w:t>
      </w:r>
    </w:p>
    <w:p w14:paraId="09D25CF2">
      <w:pPr>
        <w:autoSpaceDE w:val="0"/>
        <w:autoSpaceDN w:val="0"/>
        <w:spacing w:line="540" w:lineRule="atLeast"/>
        <w:ind w:left="239" w:leftChars="114" w:right="26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考评人员</w:t>
      </w:r>
      <w:r>
        <w:rPr>
          <w:rFonts w:hint="eastAsia" w:cs="宋体" w:asciiTheme="minorEastAsia" w:hAnsiTheme="minorEastAsia"/>
          <w:color w:val="000000" w:themeColor="text1"/>
          <w:sz w:val="24"/>
          <w:szCs w:val="24"/>
          <w14:textFill>
            <w14:solidFill>
              <w14:schemeClr w14:val="tx1"/>
            </w14:solidFill>
          </w14:textFill>
        </w:rPr>
        <w:t>窦贤逢、</w:t>
      </w:r>
      <w:r>
        <w:rPr>
          <w:rFonts w:hint="eastAsia" w:cs="宋体" w:asciiTheme="minorEastAsia" w:hAnsiTheme="minorEastAsia"/>
          <w:color w:val="000000" w:themeColor="text1"/>
          <w:sz w:val="24"/>
          <w:szCs w:val="24"/>
          <w:lang w:val="en-US" w:eastAsia="zh-CN"/>
          <w14:textFill>
            <w14:solidFill>
              <w14:schemeClr w14:val="tx1"/>
            </w14:solidFill>
          </w14:textFill>
        </w:rPr>
        <w:t>郑金锋、关忠、王文霞四人</w:t>
      </w:r>
      <w:r>
        <w:rPr>
          <w:rFonts w:cs="宋体" w:asciiTheme="minorEastAsia" w:hAnsiTheme="minorEastAsia"/>
          <w:color w:val="000000"/>
          <w:sz w:val="24"/>
          <w:szCs w:val="24"/>
        </w:rPr>
        <w:t>检查考生身份证、准考证及允许携带的工卡量具和原材料；严格按照评分标准和评分记录表对考生操作和安全文明生产等进行评分；做好因设备故障(非考生人为因素)导致考试不能顺利进行等情况的处理工作。</w:t>
      </w:r>
    </w:p>
    <w:p w14:paraId="1D6F5851">
      <w:pPr>
        <w:autoSpaceDE w:val="0"/>
        <w:autoSpaceDN w:val="0"/>
        <w:spacing w:line="540" w:lineRule="atLeast"/>
        <w:ind w:right="28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质量督导人员外部督导人员：泰山区公共就业和人才服务中心技能人才评价管理服务科</w:t>
      </w:r>
    </w:p>
    <w:p w14:paraId="53DA84CF">
      <w:pPr>
        <w:autoSpaceDE w:val="0"/>
        <w:autoSpaceDN w:val="0"/>
        <w:spacing w:line="540" w:lineRule="atLeast"/>
        <w:ind w:left="210" w:leftChars="100" w:right="280"/>
        <w:rPr>
          <w:rFonts w:asciiTheme="minorEastAsia" w:hAnsiTheme="minorEastAsia"/>
          <w:sz w:val="24"/>
          <w:szCs w:val="24"/>
        </w:rPr>
      </w:pPr>
      <w:r>
        <w:rPr>
          <w:rFonts w:cs="宋体" w:asciiTheme="minorEastAsia" w:hAnsiTheme="minorEastAsia"/>
          <w:color w:val="000000"/>
          <w:sz w:val="24"/>
          <w:szCs w:val="24"/>
        </w:rPr>
        <w:t>工作人员，内部督导人员：訾胜军，监督认定流程是否规范、认定内容是否符合国家职业技能标准、评分过程是否科学合理、认定材料是否齐全；依据有关规定，对考试违规违纪问题作出处理及认定。</w:t>
      </w:r>
    </w:p>
    <w:p w14:paraId="2F4BF9A0">
      <w:pPr>
        <w:autoSpaceDE w:val="0"/>
        <w:autoSpaceDN w:val="0"/>
        <w:spacing w:line="540" w:lineRule="atLeast"/>
        <w:ind w:right="28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考试过程中，执行回避、交叉使用制度。所有参与考核组织工作的人员都应严格落实回</w:t>
      </w:r>
    </w:p>
    <w:p w14:paraId="02ED8330">
      <w:pPr>
        <w:autoSpaceDE w:val="0"/>
        <w:autoSpaceDN w:val="0"/>
        <w:spacing w:line="540" w:lineRule="atLeast"/>
        <w:ind w:left="210" w:leftChars="100" w:right="280"/>
        <w:rPr>
          <w:rFonts w:asciiTheme="minorEastAsia" w:hAnsiTheme="minorEastAsia"/>
          <w:sz w:val="24"/>
          <w:szCs w:val="24"/>
        </w:rPr>
      </w:pPr>
      <w:r>
        <w:rPr>
          <w:rFonts w:cs="宋体" w:asciiTheme="minorEastAsia" w:hAnsiTheme="minorEastAsia"/>
          <w:color w:val="000000"/>
          <w:sz w:val="24"/>
          <w:szCs w:val="24"/>
        </w:rPr>
        <w:t>避制度，考生的培训教师、实习指导老师、班主任均不得参与监考、考评工作。各类工作人员不得有影响考生考试的行为，不得在试题理解方面为其提供帮助。</w:t>
      </w:r>
    </w:p>
    <w:p w14:paraId="3BB37ABC">
      <w:pPr>
        <w:autoSpaceDE w:val="0"/>
        <w:autoSpaceDN w:val="0"/>
        <w:spacing w:before="500" w:line="120" w:lineRule="atLeast"/>
        <w:rPr>
          <w:rFonts w:asciiTheme="minorEastAsia" w:hAnsiTheme="minorEastAsia"/>
          <w:sz w:val="24"/>
          <w:szCs w:val="24"/>
        </w:rPr>
      </w:pPr>
      <w:r>
        <w:rPr>
          <w:rFonts w:cs="宋体" w:asciiTheme="minorEastAsia" w:hAnsiTheme="minorEastAsia"/>
          <w:color w:val="000000"/>
          <w:sz w:val="24"/>
          <w:szCs w:val="24"/>
        </w:rPr>
        <w:t>3、考后工作</w:t>
      </w:r>
    </w:p>
    <w:p w14:paraId="13A25282">
      <w:pPr>
        <w:autoSpaceDE w:val="0"/>
        <w:autoSpaceDN w:val="0"/>
        <w:spacing w:before="20" w:line="550" w:lineRule="atLeast"/>
        <w:ind w:left="100" w:right="880" w:firstLine="540"/>
        <w:rPr>
          <w:rFonts w:asciiTheme="minorEastAsia" w:hAnsiTheme="minorEastAsia"/>
          <w:sz w:val="24"/>
          <w:szCs w:val="24"/>
        </w:rPr>
      </w:pPr>
      <w:r>
        <w:rPr>
          <w:rFonts w:cs="宋体" w:asciiTheme="minorEastAsia" w:hAnsiTheme="minorEastAsia"/>
          <w:color w:val="000000"/>
          <w:sz w:val="24"/>
          <w:szCs w:val="24"/>
        </w:rPr>
        <w:t>考点负责人訾胜军组织指导监考人员做好理论线上系统维护事宜，实操试卷考试资料回收、封装等工作。质量督导人员外部督导人员：泰山区公共就业和人才服务中心技能人才评价管理服务科工作人员，内部督导人员：訾胜军，对本次认定作出总体评价，提出意见建议，填写质量督导表。</w:t>
      </w:r>
    </w:p>
    <w:p w14:paraId="4CE4F9C6">
      <w:pPr>
        <w:autoSpaceDE w:val="0"/>
        <w:autoSpaceDN w:val="0"/>
        <w:spacing w:before="260" w:line="300" w:lineRule="atLeast"/>
        <w:ind w:left="800"/>
        <w:rPr>
          <w:rFonts w:asciiTheme="minorEastAsia" w:hAnsiTheme="minorEastAsia"/>
          <w:sz w:val="24"/>
          <w:szCs w:val="24"/>
        </w:rPr>
      </w:pPr>
      <w:r>
        <w:rPr>
          <w:rFonts w:cs="宋体" w:asciiTheme="minorEastAsia" w:hAnsiTheme="minorEastAsia"/>
          <w:color w:val="000000"/>
          <w:sz w:val="24"/>
          <w:szCs w:val="24"/>
        </w:rPr>
        <w:t>《理论成绩单》由系统自动汇总成绩。</w:t>
      </w:r>
    </w:p>
    <w:p w14:paraId="23B0D43C">
      <w:pPr>
        <w:autoSpaceDE w:val="0"/>
        <w:autoSpaceDN w:val="0"/>
        <w:spacing w:line="530" w:lineRule="atLeast"/>
        <w:ind w:left="140" w:right="900" w:firstLine="660"/>
        <w:rPr>
          <w:rFonts w:asciiTheme="minorEastAsia" w:hAnsiTheme="minorEastAsia"/>
          <w:sz w:val="24"/>
          <w:szCs w:val="24"/>
        </w:rPr>
      </w:pPr>
      <w:r>
        <w:rPr>
          <w:rFonts w:cs="宋体" w:asciiTheme="minorEastAsia" w:hAnsiTheme="minorEastAsia"/>
          <w:color w:val="000000"/>
          <w:sz w:val="24"/>
          <w:szCs w:val="24"/>
        </w:rPr>
        <w:t>《技能成绩单》：考评员</w:t>
      </w:r>
      <w:r>
        <w:rPr>
          <w:rFonts w:hint="eastAsia" w:cs="宋体" w:asciiTheme="minorEastAsia" w:hAnsiTheme="minorEastAsia"/>
          <w:color w:val="000000" w:themeColor="text1"/>
          <w:sz w:val="24"/>
          <w:szCs w:val="24"/>
          <w14:textFill>
            <w14:solidFill>
              <w14:schemeClr w14:val="tx1"/>
            </w14:solidFill>
          </w14:textFill>
        </w:rPr>
        <w:t>窦贤逢、</w:t>
      </w:r>
      <w:r>
        <w:rPr>
          <w:rFonts w:hint="eastAsia" w:cs="宋体" w:asciiTheme="minorEastAsia" w:hAnsiTheme="minorEastAsia"/>
          <w:color w:val="000000" w:themeColor="text1"/>
          <w:sz w:val="24"/>
          <w:szCs w:val="24"/>
          <w:lang w:val="en-US" w:eastAsia="zh-CN"/>
          <w14:textFill>
            <w14:solidFill>
              <w14:schemeClr w14:val="tx1"/>
            </w14:solidFill>
          </w14:textFill>
        </w:rPr>
        <w:t>郑金锋、关忠、王文霞</w:t>
      </w:r>
      <w:r>
        <w:rPr>
          <w:rFonts w:cs="宋体" w:asciiTheme="minorEastAsia" w:hAnsiTheme="minorEastAsia"/>
          <w:color w:val="000000"/>
          <w:sz w:val="24"/>
          <w:szCs w:val="24"/>
        </w:rPr>
        <w:t>，质量督导员在成绩单上签字，社评组织盖章留档。</w:t>
      </w:r>
      <w:r>
        <w:rPr>
          <w:rFonts w:hint="eastAsia" w:asciiTheme="minorEastAsia" w:hAnsiTheme="minorEastAsia"/>
          <w:sz w:val="24"/>
          <w:szCs w:val="24"/>
        </w:rPr>
        <w:t xml:space="preserve">      </w:t>
      </w:r>
    </w:p>
    <w:p w14:paraId="4F30A15F">
      <w:pPr>
        <w:autoSpaceDE w:val="0"/>
        <w:autoSpaceDN w:val="0"/>
        <w:spacing w:line="530" w:lineRule="atLeast"/>
        <w:ind w:left="140" w:right="900" w:firstLine="3840" w:firstLineChars="1600"/>
        <w:rPr>
          <w:rFonts w:asciiTheme="minorEastAsia" w:hAnsiTheme="minorEastAsia"/>
          <w:sz w:val="24"/>
          <w:szCs w:val="24"/>
        </w:rPr>
      </w:pPr>
      <w:r>
        <w:rPr>
          <w:rFonts w:cs="宋体" w:asciiTheme="minorEastAsia" w:hAnsiTheme="minorEastAsia"/>
          <w:color w:val="000000"/>
          <w:sz w:val="24"/>
          <w:szCs w:val="24"/>
        </w:rPr>
        <w:t>技能操作考试统分表</w:t>
      </w:r>
    </w:p>
    <w:p w14:paraId="2AB9EECD">
      <w:pPr>
        <w:spacing w:line="200" w:lineRule="exact"/>
        <w:rPr>
          <w:rFonts w:asciiTheme="minorEastAsia" w:hAnsiTheme="minorEastAsia"/>
          <w:sz w:val="24"/>
          <w:szCs w:val="24"/>
        </w:rPr>
      </w:pPr>
    </w:p>
    <w:tbl>
      <w:tblPr>
        <w:tblStyle w:val="5"/>
        <w:tblW w:w="0" w:type="auto"/>
        <w:tblInd w:w="18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740"/>
        <w:gridCol w:w="800"/>
        <w:gridCol w:w="2560"/>
        <w:gridCol w:w="1220"/>
        <w:gridCol w:w="1260"/>
        <w:gridCol w:w="1280"/>
        <w:gridCol w:w="1100"/>
        <w:gridCol w:w="800"/>
      </w:tblGrid>
      <w:tr w14:paraId="25D5D3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60" w:hRule="atLeast"/>
        </w:trPr>
        <w:tc>
          <w:tcPr>
            <w:tcW w:w="740" w:type="dxa"/>
            <w:vAlign w:val="center"/>
          </w:tcPr>
          <w:p w14:paraId="2236DD42">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序号</w:t>
            </w:r>
          </w:p>
        </w:tc>
        <w:tc>
          <w:tcPr>
            <w:tcW w:w="800" w:type="dxa"/>
            <w:vAlign w:val="center"/>
          </w:tcPr>
          <w:p w14:paraId="1140E5EB">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姓名</w:t>
            </w:r>
          </w:p>
        </w:tc>
        <w:tc>
          <w:tcPr>
            <w:tcW w:w="2560" w:type="dxa"/>
            <w:vAlign w:val="center"/>
          </w:tcPr>
          <w:p w14:paraId="228578AE">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准考证号</w:t>
            </w:r>
          </w:p>
        </w:tc>
        <w:tc>
          <w:tcPr>
            <w:tcW w:w="1220" w:type="dxa"/>
            <w:vAlign w:val="center"/>
          </w:tcPr>
          <w:p w14:paraId="69E09B84">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考评员 1</w:t>
            </w:r>
          </w:p>
        </w:tc>
        <w:tc>
          <w:tcPr>
            <w:tcW w:w="1260" w:type="dxa"/>
            <w:vAlign w:val="center"/>
          </w:tcPr>
          <w:p w14:paraId="3147F74F">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考评员 2</w:t>
            </w:r>
          </w:p>
        </w:tc>
        <w:tc>
          <w:tcPr>
            <w:tcW w:w="1280" w:type="dxa"/>
            <w:vAlign w:val="center"/>
          </w:tcPr>
          <w:p w14:paraId="3978E11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考评员 3</w:t>
            </w:r>
          </w:p>
        </w:tc>
        <w:tc>
          <w:tcPr>
            <w:tcW w:w="1100" w:type="dxa"/>
            <w:vAlign w:val="center"/>
          </w:tcPr>
          <w:p w14:paraId="43D3CD7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平均分</w:t>
            </w:r>
          </w:p>
        </w:tc>
        <w:tc>
          <w:tcPr>
            <w:tcW w:w="800" w:type="dxa"/>
            <w:vAlign w:val="center"/>
          </w:tcPr>
          <w:p w14:paraId="1960227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备注</w:t>
            </w:r>
          </w:p>
        </w:tc>
      </w:tr>
      <w:tr w14:paraId="4FFC6D6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40" w:hRule="atLeast"/>
        </w:trPr>
        <w:tc>
          <w:tcPr>
            <w:tcW w:w="740" w:type="dxa"/>
            <w:vAlign w:val="center"/>
          </w:tcPr>
          <w:p w14:paraId="1AFD2675">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800" w:type="dxa"/>
            <w:vAlign w:val="center"/>
          </w:tcPr>
          <w:p w14:paraId="0D0FD8CD">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刘XX</w:t>
            </w:r>
          </w:p>
        </w:tc>
        <w:tc>
          <w:tcPr>
            <w:tcW w:w="2560" w:type="dxa"/>
            <w:vAlign w:val="center"/>
          </w:tcPr>
          <w:p w14:paraId="51C6A0CC">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240121S00003709×××××××</w:t>
            </w:r>
          </w:p>
        </w:tc>
        <w:tc>
          <w:tcPr>
            <w:tcW w:w="1220" w:type="dxa"/>
            <w:vAlign w:val="center"/>
          </w:tcPr>
          <w:p w14:paraId="63EC5717">
            <w:pPr>
              <w:spacing w:line="240" w:lineRule="exact"/>
              <w:rPr>
                <w:rFonts w:ascii="仿宋" w:hAnsi="仿宋" w:eastAsia="仿宋"/>
                <w:sz w:val="20"/>
                <w:szCs w:val="24"/>
              </w:rPr>
            </w:pPr>
          </w:p>
        </w:tc>
        <w:tc>
          <w:tcPr>
            <w:tcW w:w="1260" w:type="dxa"/>
            <w:vAlign w:val="center"/>
          </w:tcPr>
          <w:p w14:paraId="599428DB">
            <w:pPr>
              <w:spacing w:line="240" w:lineRule="exact"/>
              <w:rPr>
                <w:rFonts w:ascii="仿宋" w:hAnsi="仿宋" w:eastAsia="仿宋"/>
                <w:sz w:val="20"/>
                <w:szCs w:val="24"/>
              </w:rPr>
            </w:pPr>
          </w:p>
        </w:tc>
        <w:tc>
          <w:tcPr>
            <w:tcW w:w="1280" w:type="dxa"/>
            <w:vAlign w:val="center"/>
          </w:tcPr>
          <w:p w14:paraId="08E9BA55">
            <w:pPr>
              <w:spacing w:line="240" w:lineRule="exact"/>
              <w:rPr>
                <w:rFonts w:ascii="仿宋" w:hAnsi="仿宋" w:eastAsia="仿宋"/>
                <w:sz w:val="20"/>
                <w:szCs w:val="24"/>
              </w:rPr>
            </w:pPr>
          </w:p>
        </w:tc>
        <w:tc>
          <w:tcPr>
            <w:tcW w:w="1100" w:type="dxa"/>
            <w:vAlign w:val="center"/>
          </w:tcPr>
          <w:p w14:paraId="4C90ACCA">
            <w:pPr>
              <w:spacing w:line="240" w:lineRule="exact"/>
              <w:rPr>
                <w:rFonts w:ascii="仿宋" w:hAnsi="仿宋" w:eastAsia="仿宋"/>
                <w:sz w:val="20"/>
                <w:szCs w:val="24"/>
              </w:rPr>
            </w:pPr>
          </w:p>
        </w:tc>
        <w:tc>
          <w:tcPr>
            <w:tcW w:w="800" w:type="dxa"/>
            <w:vAlign w:val="center"/>
          </w:tcPr>
          <w:p w14:paraId="2671F379">
            <w:pPr>
              <w:spacing w:line="240" w:lineRule="exact"/>
              <w:rPr>
                <w:rFonts w:ascii="仿宋" w:hAnsi="仿宋" w:eastAsia="仿宋"/>
                <w:sz w:val="20"/>
                <w:szCs w:val="24"/>
              </w:rPr>
            </w:pPr>
          </w:p>
        </w:tc>
      </w:tr>
      <w:tr w14:paraId="349879B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40" w:hRule="atLeast"/>
        </w:trPr>
        <w:tc>
          <w:tcPr>
            <w:tcW w:w="740" w:type="dxa"/>
            <w:vAlign w:val="center"/>
          </w:tcPr>
          <w:p w14:paraId="3126690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800" w:type="dxa"/>
            <w:vAlign w:val="center"/>
          </w:tcPr>
          <w:p w14:paraId="064B9E6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刘XX</w:t>
            </w:r>
          </w:p>
        </w:tc>
        <w:tc>
          <w:tcPr>
            <w:tcW w:w="2560" w:type="dxa"/>
            <w:vAlign w:val="center"/>
          </w:tcPr>
          <w:p w14:paraId="70D2FEAA">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240121S000037090×××××××</w:t>
            </w:r>
          </w:p>
        </w:tc>
        <w:tc>
          <w:tcPr>
            <w:tcW w:w="1220" w:type="dxa"/>
            <w:vAlign w:val="center"/>
          </w:tcPr>
          <w:p w14:paraId="48680B97">
            <w:pPr>
              <w:spacing w:line="240" w:lineRule="exact"/>
              <w:rPr>
                <w:rFonts w:ascii="仿宋" w:hAnsi="仿宋" w:eastAsia="仿宋"/>
                <w:sz w:val="20"/>
                <w:szCs w:val="24"/>
              </w:rPr>
            </w:pPr>
          </w:p>
        </w:tc>
        <w:tc>
          <w:tcPr>
            <w:tcW w:w="1260" w:type="dxa"/>
            <w:vAlign w:val="center"/>
          </w:tcPr>
          <w:p w14:paraId="6E972F5B">
            <w:pPr>
              <w:spacing w:line="240" w:lineRule="exact"/>
              <w:rPr>
                <w:rFonts w:ascii="仿宋" w:hAnsi="仿宋" w:eastAsia="仿宋"/>
                <w:sz w:val="20"/>
                <w:szCs w:val="24"/>
              </w:rPr>
            </w:pPr>
          </w:p>
        </w:tc>
        <w:tc>
          <w:tcPr>
            <w:tcW w:w="1280" w:type="dxa"/>
            <w:vAlign w:val="center"/>
          </w:tcPr>
          <w:p w14:paraId="14B3B944">
            <w:pPr>
              <w:spacing w:line="240" w:lineRule="exact"/>
              <w:rPr>
                <w:rFonts w:ascii="仿宋" w:hAnsi="仿宋" w:eastAsia="仿宋"/>
                <w:sz w:val="20"/>
                <w:szCs w:val="24"/>
              </w:rPr>
            </w:pPr>
          </w:p>
        </w:tc>
        <w:tc>
          <w:tcPr>
            <w:tcW w:w="1100" w:type="dxa"/>
            <w:vAlign w:val="center"/>
          </w:tcPr>
          <w:p w14:paraId="5907E5F7">
            <w:pPr>
              <w:spacing w:line="240" w:lineRule="exact"/>
              <w:rPr>
                <w:rFonts w:ascii="仿宋" w:hAnsi="仿宋" w:eastAsia="仿宋"/>
                <w:sz w:val="20"/>
                <w:szCs w:val="24"/>
              </w:rPr>
            </w:pPr>
          </w:p>
        </w:tc>
        <w:tc>
          <w:tcPr>
            <w:tcW w:w="800" w:type="dxa"/>
            <w:vAlign w:val="center"/>
          </w:tcPr>
          <w:p w14:paraId="7C6C69E7">
            <w:pPr>
              <w:spacing w:line="240" w:lineRule="exact"/>
              <w:rPr>
                <w:rFonts w:ascii="仿宋" w:hAnsi="仿宋" w:eastAsia="仿宋"/>
                <w:sz w:val="20"/>
                <w:szCs w:val="24"/>
              </w:rPr>
            </w:pPr>
          </w:p>
        </w:tc>
      </w:tr>
    </w:tbl>
    <w:p w14:paraId="1EEFE818">
      <w:pPr>
        <w:autoSpaceDE w:val="0"/>
        <w:autoSpaceDN w:val="0"/>
        <w:spacing w:before="180" w:line="300" w:lineRule="atLeast"/>
        <w:ind w:left="120"/>
        <w:rPr>
          <w:rFonts w:asciiTheme="minorEastAsia" w:hAnsiTheme="minorEastAsia"/>
          <w:sz w:val="24"/>
          <w:szCs w:val="24"/>
        </w:rPr>
      </w:pPr>
      <w:r>
        <w:rPr>
          <w:rFonts w:cs="宋体" w:asciiTheme="minorEastAsia" w:hAnsiTheme="minorEastAsia"/>
          <w:color w:val="000000"/>
          <w:sz w:val="24"/>
          <w:szCs w:val="24"/>
        </w:rPr>
        <w:t>十二、结果公示</w:t>
      </w:r>
    </w:p>
    <w:p w14:paraId="647DB4BF">
      <w:pPr>
        <w:autoSpaceDE w:val="0"/>
        <w:autoSpaceDN w:val="0"/>
        <w:spacing w:line="553" w:lineRule="atLeast"/>
        <w:ind w:left="120" w:right="920"/>
        <w:rPr>
          <w:rFonts w:asciiTheme="minorEastAsia" w:hAnsiTheme="minorEastAsia"/>
          <w:sz w:val="24"/>
          <w:szCs w:val="24"/>
        </w:rPr>
      </w:pPr>
      <w:r>
        <w:rPr>
          <w:rFonts w:cs="宋体" w:asciiTheme="minorEastAsia" w:hAnsiTheme="minorEastAsia"/>
          <w:color w:val="000000"/>
          <w:sz w:val="24"/>
          <w:szCs w:val="24"/>
        </w:rPr>
        <w:t>1、协会将认定盖章签字后的《理论成绩单》、《技能成绩单》在协会公众号进行公示</w:t>
      </w:r>
      <w:r>
        <w:rPr>
          <w:rFonts w:hint="eastAsia" w:cs="宋体" w:asciiTheme="minorEastAsia" w:hAnsiTheme="minorEastAsia"/>
          <w:color w:val="000000"/>
          <w:sz w:val="24"/>
          <w:szCs w:val="24"/>
          <w:lang w:eastAsia="zh-CN"/>
        </w:rPr>
        <w:t>，</w:t>
      </w:r>
      <w:r>
        <w:rPr>
          <w:rFonts w:cs="宋体" w:asciiTheme="minorEastAsia" w:hAnsiTheme="minorEastAsia"/>
          <w:color w:val="000000"/>
          <w:sz w:val="24"/>
          <w:szCs w:val="24"/>
        </w:rPr>
        <w:t>公示期不少于5个工作日，公示期内无异议，协会将认定结果上传系统平台；</w:t>
      </w:r>
    </w:p>
    <w:p w14:paraId="4D7BFA36">
      <w:pPr>
        <w:autoSpaceDE w:val="0"/>
        <w:autoSpaceDN w:val="0"/>
        <w:spacing w:before="240" w:line="300" w:lineRule="atLeast"/>
        <w:ind w:left="120"/>
        <w:rPr>
          <w:rFonts w:asciiTheme="minorEastAsia" w:hAnsiTheme="minorEastAsia"/>
          <w:sz w:val="24"/>
          <w:szCs w:val="24"/>
        </w:rPr>
      </w:pPr>
      <w:r>
        <w:rPr>
          <w:rFonts w:cs="宋体" w:asciiTheme="minorEastAsia" w:hAnsiTheme="minorEastAsia"/>
          <w:color w:val="000000"/>
          <w:sz w:val="24"/>
          <w:szCs w:val="24"/>
        </w:rPr>
        <w:t>十三、成绩管理</w:t>
      </w:r>
    </w:p>
    <w:p w14:paraId="2ED6F847">
      <w:pPr>
        <w:autoSpaceDE w:val="0"/>
        <w:autoSpaceDN w:val="0"/>
        <w:spacing w:line="570" w:lineRule="atLeast"/>
        <w:ind w:left="120" w:right="1000"/>
        <w:rPr>
          <w:rFonts w:asciiTheme="minorEastAsia" w:hAnsiTheme="minorEastAsia"/>
          <w:sz w:val="24"/>
          <w:szCs w:val="24"/>
        </w:rPr>
      </w:pPr>
      <w:r>
        <w:rPr>
          <w:rFonts w:cs="宋体" w:asciiTheme="minorEastAsia" w:hAnsiTheme="minorEastAsia"/>
          <w:color w:val="000000"/>
          <w:sz w:val="24"/>
          <w:szCs w:val="24"/>
        </w:rPr>
        <w:t>1、本次理论采用智能化阅卷的，系统自动汇总成绩，乔伟复核确认，郑金锋进行系统维护，防止成绩泄露或更改；</w:t>
      </w:r>
    </w:p>
    <w:p w14:paraId="4E730D4B">
      <w:pPr>
        <w:autoSpaceDE w:val="0"/>
        <w:autoSpaceDN w:val="0"/>
        <w:spacing w:line="567" w:lineRule="atLeast"/>
        <w:ind w:left="120" w:right="900"/>
        <w:rPr>
          <w:rFonts w:asciiTheme="minorEastAsia" w:hAnsiTheme="minorEastAsia"/>
          <w:sz w:val="24"/>
          <w:szCs w:val="24"/>
        </w:rPr>
      </w:pPr>
      <w:r>
        <w:rPr>
          <w:rFonts w:cs="宋体" w:asciiTheme="minorEastAsia" w:hAnsiTheme="minorEastAsia"/>
          <w:color w:val="000000"/>
          <w:sz w:val="24"/>
          <w:szCs w:val="24"/>
        </w:rPr>
        <w:t>2、技能综合考试结束后成绩录入乔伟负责。录入工作要遵循如实录入、准确无误的原则，考务人员不得改动卷面分数。对有考场违纪记录的试卷，认真核对并做好记录。并由乔伟、郑金锋签字，协会盖章存档。</w:t>
      </w:r>
    </w:p>
    <w:p w14:paraId="51A4566C">
      <w:pPr>
        <w:autoSpaceDE w:val="0"/>
        <w:autoSpaceDN w:val="0"/>
        <w:spacing w:line="567" w:lineRule="atLeast"/>
        <w:ind w:left="120" w:right="900"/>
        <w:rPr>
          <w:rFonts w:asciiTheme="minorEastAsia" w:hAnsiTheme="minorEastAsia"/>
          <w:sz w:val="24"/>
          <w:szCs w:val="24"/>
        </w:rPr>
      </w:pPr>
      <w:r>
        <w:rPr>
          <w:rFonts w:cs="宋体" w:asciiTheme="minorEastAsia" w:hAnsiTheme="minorEastAsia"/>
          <w:color w:val="000000"/>
          <w:sz w:val="24"/>
          <w:szCs w:val="24"/>
        </w:rPr>
        <w:t>3、郑金锋应及时检查核对录入情况，填写工作记录，做好数据备份，并按规定妥善保管。</w:t>
      </w:r>
    </w:p>
    <w:p w14:paraId="6DD8D5D9">
      <w:pPr>
        <w:autoSpaceDE w:val="0"/>
        <w:autoSpaceDN w:val="0"/>
        <w:spacing w:before="220" w:line="320" w:lineRule="atLeast"/>
        <w:rPr>
          <w:rFonts w:asciiTheme="minorEastAsia" w:hAnsiTheme="minorEastAsia"/>
          <w:sz w:val="24"/>
          <w:szCs w:val="24"/>
        </w:rPr>
      </w:pPr>
      <w:r>
        <w:rPr>
          <w:rFonts w:cs="宋体" w:asciiTheme="minorEastAsia" w:hAnsiTheme="minorEastAsia"/>
          <w:color w:val="000000"/>
          <w:sz w:val="24"/>
          <w:szCs w:val="24"/>
        </w:rPr>
        <w:t>十四、确认证书</w:t>
      </w:r>
    </w:p>
    <w:p w14:paraId="1BA76C5B">
      <w:pPr>
        <w:autoSpaceDE w:val="0"/>
        <w:autoSpaceDN w:val="0"/>
        <w:spacing w:before="20" w:line="547" w:lineRule="atLeast"/>
        <w:ind w:right="620"/>
        <w:rPr>
          <w:rFonts w:asciiTheme="minorEastAsia" w:hAnsiTheme="minorEastAsia"/>
          <w:sz w:val="24"/>
          <w:szCs w:val="24"/>
        </w:rPr>
      </w:pPr>
      <w:r>
        <w:rPr>
          <w:rFonts w:cs="宋体" w:asciiTheme="minorEastAsia" w:hAnsiTheme="minorEastAsia"/>
          <w:color w:val="000000"/>
          <w:sz w:val="24"/>
          <w:szCs w:val="24"/>
        </w:rPr>
        <w:t>1、证书确认需要在线上确认，按照统一的编码规则在系统中完成证书赋码，经人力资源社会保障部门审核后，证书可以在《山东省技能人才评价工作网》和《技能人才评价证书全国联网查询》系统中查询。</w:t>
      </w:r>
    </w:p>
    <w:p w14:paraId="591F2224">
      <w:pPr>
        <w:autoSpaceDE w:val="0"/>
        <w:autoSpaceDN w:val="0"/>
        <w:spacing w:line="560" w:lineRule="atLeast"/>
        <w:ind w:right="560"/>
        <w:rPr>
          <w:rFonts w:asciiTheme="minorEastAsia" w:hAnsiTheme="minorEastAsia"/>
          <w:sz w:val="24"/>
          <w:szCs w:val="24"/>
        </w:rPr>
      </w:pPr>
      <w:r>
        <w:rPr>
          <w:rFonts w:cs="宋体" w:asciiTheme="minorEastAsia" w:hAnsiTheme="minorEastAsia"/>
          <w:color w:val="000000"/>
          <w:sz w:val="24"/>
          <w:szCs w:val="24"/>
        </w:rPr>
        <w:t>2、证书按照山东省职业技能等级证书要求定制，乔伟负责打印证书，并盖章。</w:t>
      </w:r>
    </w:p>
    <w:p w14:paraId="21B843A4">
      <w:pPr>
        <w:autoSpaceDE w:val="0"/>
        <w:autoSpaceDN w:val="0"/>
        <w:spacing w:before="200" w:line="320" w:lineRule="atLeast"/>
        <w:rPr>
          <w:rFonts w:asciiTheme="minorEastAsia" w:hAnsiTheme="minorEastAsia"/>
          <w:sz w:val="24"/>
          <w:szCs w:val="24"/>
        </w:rPr>
      </w:pPr>
      <w:r>
        <w:rPr>
          <w:rFonts w:cs="宋体" w:asciiTheme="minorEastAsia" w:hAnsiTheme="minorEastAsia"/>
          <w:color w:val="000000"/>
          <w:sz w:val="24"/>
          <w:szCs w:val="24"/>
        </w:rPr>
        <w:t>十五、发放证书</w:t>
      </w:r>
    </w:p>
    <w:p w14:paraId="6E5633A1">
      <w:pPr>
        <w:autoSpaceDE w:val="0"/>
        <w:autoSpaceDN w:val="0"/>
        <w:spacing w:line="560" w:lineRule="atLeast"/>
        <w:ind w:right="620"/>
        <w:rPr>
          <w:rFonts w:asciiTheme="minorEastAsia" w:hAnsiTheme="minorEastAsia"/>
          <w:sz w:val="24"/>
          <w:szCs w:val="24"/>
        </w:rPr>
      </w:pPr>
      <w:r>
        <w:rPr>
          <w:rFonts w:cs="宋体" w:asciiTheme="minorEastAsia" w:hAnsiTheme="minorEastAsia"/>
          <w:color w:val="000000"/>
          <w:sz w:val="24"/>
          <w:szCs w:val="24"/>
        </w:rPr>
        <w:t>1、证书发放由郑金锋负责，考生领取证书时应当持本人身份证原件，到泰安市泰山区龙潭路</w:t>
      </w:r>
      <w:r>
        <w:rPr>
          <w:rFonts w:hint="eastAsia" w:cs="宋体" w:asciiTheme="minorEastAsia" w:hAnsiTheme="minorEastAsia"/>
          <w:color w:val="000000"/>
          <w:sz w:val="24"/>
          <w:szCs w:val="24"/>
        </w:rPr>
        <w:t>217-2号泰安市饭店烹饪协会2楼办公室</w:t>
      </w:r>
      <w:r>
        <w:rPr>
          <w:rFonts w:cs="宋体" w:asciiTheme="minorEastAsia" w:hAnsiTheme="minorEastAsia"/>
          <w:color w:val="000000"/>
          <w:sz w:val="24"/>
          <w:szCs w:val="24"/>
        </w:rPr>
        <w:t>领取。无特殊情况不允许代领证书。</w:t>
      </w:r>
    </w:p>
    <w:p w14:paraId="75DD9FA6">
      <w:pPr>
        <w:autoSpaceDE w:val="0"/>
        <w:autoSpaceDN w:val="0"/>
        <w:spacing w:before="240" w:line="320" w:lineRule="atLeast"/>
        <w:rPr>
          <w:rFonts w:asciiTheme="minorEastAsia" w:hAnsiTheme="minorEastAsia"/>
          <w:sz w:val="24"/>
          <w:szCs w:val="24"/>
        </w:rPr>
      </w:pPr>
      <w:r>
        <w:rPr>
          <w:rFonts w:cs="宋体" w:asciiTheme="minorEastAsia" w:hAnsiTheme="minorEastAsia"/>
          <w:color w:val="000000"/>
          <w:sz w:val="24"/>
          <w:szCs w:val="24"/>
        </w:rPr>
        <w:t>2、协会发放证书时应做好登记并由领取人签字留档。</w:t>
      </w:r>
    </w:p>
    <w:p w14:paraId="197C9326">
      <w:pPr>
        <w:autoSpaceDE w:val="0"/>
        <w:autoSpaceDN w:val="0"/>
        <w:spacing w:before="220" w:line="380" w:lineRule="atLeast"/>
        <w:ind w:left="3420"/>
        <w:rPr>
          <w:rFonts w:asciiTheme="minorEastAsia" w:hAnsiTheme="minorEastAsia"/>
          <w:sz w:val="24"/>
          <w:szCs w:val="24"/>
        </w:rPr>
      </w:pPr>
      <w:r>
        <w:rPr>
          <w:rFonts w:cs="宋体" w:asciiTheme="minorEastAsia" w:hAnsiTheme="minorEastAsia"/>
          <w:color w:val="000000"/>
          <w:sz w:val="24"/>
          <w:szCs w:val="24"/>
        </w:rPr>
        <w:t>职业技能等级证书领取信息表</w:t>
      </w:r>
    </w:p>
    <w:p w14:paraId="6C96DDAC">
      <w:pPr>
        <w:spacing w:line="240" w:lineRule="exact"/>
        <w:rPr>
          <w:rFonts w:asciiTheme="minorEastAsia" w:hAnsiTheme="minorEastAsia"/>
          <w:sz w:val="24"/>
          <w:szCs w:val="24"/>
        </w:rPr>
      </w:pPr>
    </w:p>
    <w:tbl>
      <w:tblPr>
        <w:tblStyle w:val="5"/>
        <w:tblW w:w="0" w:type="auto"/>
        <w:tblInd w:w="145"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851"/>
        <w:gridCol w:w="992"/>
        <w:gridCol w:w="1792"/>
        <w:gridCol w:w="1240"/>
        <w:gridCol w:w="1360"/>
        <w:gridCol w:w="600"/>
        <w:gridCol w:w="1528"/>
        <w:gridCol w:w="1134"/>
        <w:gridCol w:w="567"/>
      </w:tblGrid>
      <w:tr w14:paraId="62B37C2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40" w:hRule="atLeast"/>
        </w:trPr>
        <w:tc>
          <w:tcPr>
            <w:tcW w:w="851" w:type="dxa"/>
            <w:vAlign w:val="center"/>
          </w:tcPr>
          <w:p w14:paraId="7EE46B9E">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序号</w:t>
            </w:r>
          </w:p>
        </w:tc>
        <w:tc>
          <w:tcPr>
            <w:tcW w:w="992" w:type="dxa"/>
            <w:vAlign w:val="center"/>
          </w:tcPr>
          <w:p w14:paraId="20820FB2">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姓名</w:t>
            </w:r>
          </w:p>
        </w:tc>
        <w:tc>
          <w:tcPr>
            <w:tcW w:w="1792" w:type="dxa"/>
            <w:vAlign w:val="center"/>
          </w:tcPr>
          <w:p w14:paraId="335DAD9C">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身份证号</w:t>
            </w:r>
          </w:p>
        </w:tc>
        <w:tc>
          <w:tcPr>
            <w:tcW w:w="1240" w:type="dxa"/>
            <w:vAlign w:val="center"/>
          </w:tcPr>
          <w:p w14:paraId="4DA3DE2F">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联系方式</w:t>
            </w:r>
          </w:p>
        </w:tc>
        <w:tc>
          <w:tcPr>
            <w:tcW w:w="1360" w:type="dxa"/>
            <w:vAlign w:val="center"/>
          </w:tcPr>
          <w:p w14:paraId="4A3CDE67">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职业(工种)</w:t>
            </w:r>
          </w:p>
        </w:tc>
        <w:tc>
          <w:tcPr>
            <w:tcW w:w="600" w:type="dxa"/>
            <w:vAlign w:val="center"/>
          </w:tcPr>
          <w:p w14:paraId="228035FE">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等级</w:t>
            </w:r>
          </w:p>
        </w:tc>
        <w:tc>
          <w:tcPr>
            <w:tcW w:w="1528" w:type="dxa"/>
            <w:vAlign w:val="center"/>
          </w:tcPr>
          <w:p w14:paraId="6F0A3093">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领取时间</w:t>
            </w:r>
          </w:p>
        </w:tc>
        <w:tc>
          <w:tcPr>
            <w:tcW w:w="1134" w:type="dxa"/>
            <w:vAlign w:val="center"/>
          </w:tcPr>
          <w:p w14:paraId="0F782F41">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领取人签字</w:t>
            </w:r>
          </w:p>
        </w:tc>
        <w:tc>
          <w:tcPr>
            <w:tcW w:w="567" w:type="dxa"/>
            <w:vAlign w:val="center"/>
          </w:tcPr>
          <w:p w14:paraId="6FD2D979">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备注</w:t>
            </w:r>
          </w:p>
        </w:tc>
      </w:tr>
      <w:tr w14:paraId="29948DE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40" w:hRule="atLeast"/>
        </w:trPr>
        <w:tc>
          <w:tcPr>
            <w:tcW w:w="851" w:type="dxa"/>
            <w:vAlign w:val="center"/>
          </w:tcPr>
          <w:p w14:paraId="1987B30E">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1</w:t>
            </w:r>
          </w:p>
        </w:tc>
        <w:tc>
          <w:tcPr>
            <w:tcW w:w="992" w:type="dxa"/>
            <w:vAlign w:val="center"/>
          </w:tcPr>
          <w:p w14:paraId="7B5CE198">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张 XX</w:t>
            </w:r>
          </w:p>
        </w:tc>
        <w:tc>
          <w:tcPr>
            <w:tcW w:w="1792" w:type="dxa"/>
            <w:vAlign w:val="center"/>
          </w:tcPr>
          <w:p w14:paraId="72B60895">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37090000000XXXX</w:t>
            </w:r>
          </w:p>
        </w:tc>
        <w:tc>
          <w:tcPr>
            <w:tcW w:w="1240" w:type="dxa"/>
            <w:vAlign w:val="center"/>
          </w:tcPr>
          <w:p w14:paraId="0B0D74D1">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123000000XX</w:t>
            </w:r>
          </w:p>
        </w:tc>
        <w:tc>
          <w:tcPr>
            <w:tcW w:w="1360" w:type="dxa"/>
            <w:vAlign w:val="center"/>
          </w:tcPr>
          <w:p w14:paraId="4FB0807C">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中式烹调师</w:t>
            </w:r>
          </w:p>
        </w:tc>
        <w:tc>
          <w:tcPr>
            <w:tcW w:w="600" w:type="dxa"/>
            <w:vAlign w:val="center"/>
          </w:tcPr>
          <w:p w14:paraId="2315FCBA">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五级</w:t>
            </w:r>
          </w:p>
        </w:tc>
        <w:tc>
          <w:tcPr>
            <w:tcW w:w="1528" w:type="dxa"/>
            <w:vAlign w:val="center"/>
          </w:tcPr>
          <w:p w14:paraId="1FBEE224">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2024. XX. XX</w:t>
            </w:r>
          </w:p>
        </w:tc>
        <w:tc>
          <w:tcPr>
            <w:tcW w:w="1134" w:type="dxa"/>
            <w:vAlign w:val="center"/>
          </w:tcPr>
          <w:p w14:paraId="63703769">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XXX</w:t>
            </w:r>
          </w:p>
        </w:tc>
        <w:tc>
          <w:tcPr>
            <w:tcW w:w="567" w:type="dxa"/>
            <w:vAlign w:val="center"/>
          </w:tcPr>
          <w:p w14:paraId="2EF5A477">
            <w:pPr>
              <w:spacing w:line="240" w:lineRule="exact"/>
              <w:rPr>
                <w:rFonts w:ascii="仿宋" w:hAnsi="仿宋" w:eastAsia="仿宋"/>
                <w:sz w:val="20"/>
                <w:szCs w:val="20"/>
              </w:rPr>
            </w:pPr>
          </w:p>
        </w:tc>
      </w:tr>
    </w:tbl>
    <w:p w14:paraId="32A57D04">
      <w:pPr>
        <w:autoSpaceDE w:val="0"/>
        <w:autoSpaceDN w:val="0"/>
        <w:spacing w:before="160" w:line="320" w:lineRule="atLeast"/>
        <w:rPr>
          <w:rFonts w:asciiTheme="minorEastAsia" w:hAnsiTheme="minorEastAsia"/>
          <w:sz w:val="24"/>
          <w:szCs w:val="24"/>
        </w:rPr>
      </w:pPr>
      <w:r>
        <w:rPr>
          <w:rFonts w:cs="宋体" w:asciiTheme="minorEastAsia" w:hAnsiTheme="minorEastAsia"/>
          <w:color w:val="000000"/>
          <w:sz w:val="24"/>
          <w:szCs w:val="24"/>
        </w:rPr>
        <w:t>十四、档案管理</w:t>
      </w:r>
    </w:p>
    <w:p w14:paraId="439B535F">
      <w:pPr>
        <w:autoSpaceDE w:val="0"/>
        <w:autoSpaceDN w:val="0"/>
        <w:spacing w:line="560" w:lineRule="atLeast"/>
        <w:ind w:right="500" w:firstLine="480" w:firstLineChars="200"/>
        <w:rPr>
          <w:rFonts w:asciiTheme="minorEastAsia" w:hAnsiTheme="minorEastAsia"/>
          <w:sz w:val="24"/>
          <w:szCs w:val="24"/>
        </w:rPr>
      </w:pPr>
      <w:r>
        <w:rPr>
          <w:rFonts w:cs="宋体" w:asciiTheme="minorEastAsia" w:hAnsiTheme="minorEastAsia"/>
          <w:color w:val="000000"/>
          <w:sz w:val="24"/>
          <w:szCs w:val="24"/>
        </w:rPr>
        <w:t>协会在考核完成后5个工作日内整理归档，并在档案盒上制作目录，认定资料包括：</w:t>
      </w:r>
    </w:p>
    <w:p w14:paraId="5A764174">
      <w:pPr>
        <w:autoSpaceDE w:val="0"/>
        <w:autoSpaceDN w:val="0"/>
        <w:spacing w:before="180" w:line="320" w:lineRule="atLeast"/>
        <w:rPr>
          <w:rFonts w:asciiTheme="minorEastAsia" w:hAnsiTheme="minorEastAsia"/>
          <w:sz w:val="24"/>
          <w:szCs w:val="24"/>
        </w:rPr>
      </w:pPr>
      <w:r>
        <w:rPr>
          <w:rFonts w:cs="宋体" w:asciiTheme="minorEastAsia" w:hAnsiTheme="minorEastAsia"/>
          <w:color w:val="000000"/>
          <w:sz w:val="24"/>
          <w:szCs w:val="24"/>
        </w:rPr>
        <w:t>1、全年、每批次职业技能等级认定公告；</w:t>
      </w:r>
    </w:p>
    <w:p w14:paraId="1DEB10F5">
      <w:pPr>
        <w:autoSpaceDE w:val="0"/>
        <w:autoSpaceDN w:val="0"/>
        <w:spacing w:line="640" w:lineRule="atLeast"/>
        <w:ind w:right="500"/>
        <w:rPr>
          <w:rFonts w:asciiTheme="minorEastAsia" w:hAnsiTheme="minorEastAsia"/>
          <w:sz w:val="24"/>
          <w:szCs w:val="24"/>
        </w:rPr>
      </w:pPr>
      <w:r>
        <w:rPr>
          <w:rFonts w:cs="宋体" w:asciiTheme="minorEastAsia" w:hAnsiTheme="minorEastAsia"/>
          <w:color w:val="000000"/>
          <w:sz w:val="24"/>
          <w:szCs w:val="24"/>
        </w:rPr>
        <w:t>2、考生报名资格审核材料(个人申报表、身份证、学历证或毕业证复印件、承诺书)</w:t>
      </w:r>
    </w:p>
    <w:p w14:paraId="5E792613">
      <w:pPr>
        <w:autoSpaceDE w:val="0"/>
        <w:autoSpaceDN w:val="0"/>
        <w:spacing w:before="320" w:line="320" w:lineRule="atLeast"/>
        <w:rPr>
          <w:rFonts w:asciiTheme="minorEastAsia" w:hAnsiTheme="minorEastAsia"/>
          <w:sz w:val="24"/>
          <w:szCs w:val="24"/>
        </w:rPr>
      </w:pPr>
      <w:r>
        <w:rPr>
          <w:rFonts w:cs="宋体" w:asciiTheme="minorEastAsia" w:hAnsiTheme="minorEastAsia"/>
          <w:color w:val="000000"/>
          <w:sz w:val="24"/>
          <w:szCs w:val="24"/>
        </w:rPr>
        <w:t>3、考核评价方案(包括应急方案、考务手册)</w:t>
      </w:r>
    </w:p>
    <w:p w14:paraId="0A77480F">
      <w:pPr>
        <w:autoSpaceDE w:val="0"/>
        <w:autoSpaceDN w:val="0"/>
        <w:spacing w:before="300" w:line="320" w:lineRule="atLeast"/>
        <w:rPr>
          <w:rFonts w:asciiTheme="minorEastAsia" w:hAnsiTheme="minorEastAsia"/>
          <w:sz w:val="24"/>
          <w:szCs w:val="24"/>
        </w:rPr>
      </w:pPr>
      <w:r>
        <w:rPr>
          <w:rFonts w:cs="宋体" w:asciiTheme="minorEastAsia" w:hAnsiTheme="minorEastAsia"/>
          <w:color w:val="000000"/>
          <w:sz w:val="24"/>
          <w:szCs w:val="24"/>
        </w:rPr>
        <w:t>4、考前工作会议记录</w:t>
      </w:r>
    </w:p>
    <w:p w14:paraId="297FA361">
      <w:pPr>
        <w:autoSpaceDE w:val="0"/>
        <w:autoSpaceDN w:val="0"/>
        <w:spacing w:before="300" w:line="320" w:lineRule="atLeast"/>
        <w:rPr>
          <w:rFonts w:asciiTheme="minorEastAsia" w:hAnsiTheme="minorEastAsia"/>
          <w:sz w:val="24"/>
          <w:szCs w:val="24"/>
        </w:rPr>
      </w:pPr>
      <w:r>
        <w:rPr>
          <w:rFonts w:cs="宋体" w:asciiTheme="minorEastAsia" w:hAnsiTheme="minorEastAsia"/>
          <w:color w:val="000000"/>
          <w:sz w:val="24"/>
          <w:szCs w:val="24"/>
        </w:rPr>
        <w:t>5、考生签到表</w:t>
      </w:r>
    </w:p>
    <w:p w14:paraId="4E04D5FB">
      <w:pPr>
        <w:autoSpaceDE w:val="0"/>
        <w:autoSpaceDN w:val="0"/>
        <w:spacing w:before="280" w:line="280" w:lineRule="atLeast"/>
        <w:ind w:left="20"/>
        <w:rPr>
          <w:rFonts w:asciiTheme="minorEastAsia" w:hAnsiTheme="minorEastAsia"/>
          <w:sz w:val="24"/>
          <w:szCs w:val="24"/>
        </w:rPr>
      </w:pPr>
      <w:r>
        <w:rPr>
          <w:rFonts w:cs="宋体" w:asciiTheme="minorEastAsia" w:hAnsiTheme="minorEastAsia"/>
          <w:color w:val="000000"/>
          <w:sz w:val="24"/>
          <w:szCs w:val="24"/>
        </w:rPr>
        <w:t>6、考场情况记录表</w:t>
      </w:r>
    </w:p>
    <w:p w14:paraId="0D65145C">
      <w:pPr>
        <w:autoSpaceDE w:val="0"/>
        <w:autoSpaceDN w:val="0"/>
        <w:spacing w:before="340" w:line="280" w:lineRule="atLeast"/>
        <w:ind w:left="20"/>
        <w:rPr>
          <w:rFonts w:asciiTheme="minorEastAsia" w:hAnsiTheme="minorEastAsia"/>
          <w:sz w:val="24"/>
          <w:szCs w:val="24"/>
        </w:rPr>
      </w:pPr>
      <w:r>
        <w:rPr>
          <w:rFonts w:cs="宋体" w:asciiTheme="minorEastAsia" w:hAnsiTheme="minorEastAsia"/>
          <w:color w:val="000000"/>
          <w:sz w:val="24"/>
          <w:szCs w:val="24"/>
        </w:rPr>
        <w:t>7、考评记录表或评分表(3人以上签字)</w:t>
      </w:r>
    </w:p>
    <w:p w14:paraId="553D74DA">
      <w:pPr>
        <w:autoSpaceDE w:val="0"/>
        <w:autoSpaceDN w:val="0"/>
        <w:spacing w:before="300" w:line="280" w:lineRule="atLeast"/>
        <w:ind w:left="20"/>
        <w:rPr>
          <w:rFonts w:asciiTheme="minorEastAsia" w:hAnsiTheme="minorEastAsia"/>
          <w:sz w:val="24"/>
          <w:szCs w:val="24"/>
        </w:rPr>
      </w:pPr>
      <w:r>
        <w:rPr>
          <w:rFonts w:cs="宋体" w:asciiTheme="minorEastAsia" w:hAnsiTheme="minorEastAsia"/>
          <w:color w:val="000000"/>
          <w:sz w:val="24"/>
          <w:szCs w:val="24"/>
        </w:rPr>
        <w:t>8、 内部质量督导表</w:t>
      </w:r>
    </w:p>
    <w:p w14:paraId="538C8595">
      <w:pPr>
        <w:autoSpaceDE w:val="0"/>
        <w:autoSpaceDN w:val="0"/>
        <w:spacing w:before="20" w:line="580" w:lineRule="atLeast"/>
        <w:ind w:left="20" w:right="700"/>
        <w:rPr>
          <w:rFonts w:asciiTheme="minorEastAsia" w:hAnsiTheme="minorEastAsia"/>
          <w:sz w:val="24"/>
          <w:szCs w:val="24"/>
        </w:rPr>
      </w:pPr>
      <w:r>
        <w:rPr>
          <w:rFonts w:cs="宋体" w:asciiTheme="minorEastAsia" w:hAnsiTheme="minorEastAsia"/>
          <w:color w:val="000000"/>
          <w:sz w:val="24"/>
          <w:szCs w:val="24"/>
        </w:rPr>
        <w:t>9、</w:t>
      </w:r>
      <w:r>
        <w:rPr>
          <w:rFonts w:hint="eastAsia" w:cs="宋体" w:asciiTheme="minorEastAsia" w:hAnsiTheme="minorEastAsia"/>
          <w:color w:val="000000"/>
          <w:sz w:val="24"/>
          <w:szCs w:val="24"/>
        </w:rPr>
        <w:t xml:space="preserve"> </w:t>
      </w:r>
      <w:r>
        <w:rPr>
          <w:rFonts w:cs="宋体" w:asciiTheme="minorEastAsia" w:hAnsiTheme="minorEastAsia"/>
          <w:color w:val="000000"/>
          <w:sz w:val="24"/>
          <w:szCs w:val="24"/>
        </w:rPr>
        <w:t>评价试卷的保存情况(包括理论考试试卷、技能考试试卷及机考的数据包按批次存档)</w:t>
      </w:r>
    </w:p>
    <w:p w14:paraId="30E7410E">
      <w:pPr>
        <w:autoSpaceDE w:val="0"/>
        <w:autoSpaceDN w:val="0"/>
        <w:spacing w:before="300" w:line="280" w:lineRule="atLeast"/>
        <w:ind w:left="20"/>
        <w:rPr>
          <w:rFonts w:asciiTheme="minorEastAsia" w:hAnsiTheme="minorEastAsia"/>
          <w:sz w:val="24"/>
          <w:szCs w:val="24"/>
        </w:rPr>
      </w:pPr>
      <w:r>
        <w:rPr>
          <w:rFonts w:cs="宋体" w:asciiTheme="minorEastAsia" w:hAnsiTheme="minorEastAsia"/>
          <w:color w:val="000000"/>
          <w:sz w:val="24"/>
          <w:szCs w:val="24"/>
        </w:rPr>
        <w:t>10、公示成绩花名册</w:t>
      </w:r>
    </w:p>
    <w:p w14:paraId="5C6ADE6A">
      <w:pPr>
        <w:autoSpaceDE w:val="0"/>
        <w:autoSpaceDN w:val="0"/>
        <w:spacing w:before="320" w:line="280" w:lineRule="atLeast"/>
        <w:ind w:left="20"/>
        <w:rPr>
          <w:rFonts w:asciiTheme="minorEastAsia" w:hAnsiTheme="minorEastAsia"/>
          <w:sz w:val="24"/>
          <w:szCs w:val="24"/>
        </w:rPr>
      </w:pPr>
      <w:r>
        <w:rPr>
          <w:rFonts w:cs="宋体" w:asciiTheme="minorEastAsia" w:hAnsiTheme="minorEastAsia"/>
          <w:color w:val="000000"/>
          <w:sz w:val="24"/>
          <w:szCs w:val="24"/>
        </w:rPr>
        <w:t>11、评价过程影像或照片资料(视频全程留痕、分期分批存放)</w:t>
      </w:r>
    </w:p>
    <w:p w14:paraId="05D105E8">
      <w:pPr>
        <w:autoSpaceDE w:val="0"/>
        <w:autoSpaceDN w:val="0"/>
        <w:spacing w:before="320" w:line="280" w:lineRule="atLeast"/>
        <w:ind w:left="20"/>
        <w:rPr>
          <w:rFonts w:asciiTheme="minorEastAsia" w:hAnsiTheme="minorEastAsia"/>
          <w:sz w:val="24"/>
          <w:szCs w:val="24"/>
        </w:rPr>
      </w:pPr>
      <w:r>
        <w:rPr>
          <w:rFonts w:cs="宋体" w:asciiTheme="minorEastAsia" w:hAnsiTheme="minorEastAsia"/>
          <w:color w:val="000000"/>
          <w:sz w:val="24"/>
          <w:szCs w:val="24"/>
        </w:rPr>
        <w:t>12、职业技能等级证书发放领取表(带签字)</w:t>
      </w:r>
    </w:p>
    <w:p w14:paraId="067C3DFE">
      <w:pPr>
        <w:autoSpaceDE w:val="0"/>
        <w:autoSpaceDN w:val="0"/>
        <w:spacing w:before="20" w:line="560" w:lineRule="atLeast"/>
        <w:ind w:right="720" w:firstLine="560"/>
        <w:rPr>
          <w:rFonts w:cs="宋体" w:asciiTheme="minorEastAsia" w:hAnsiTheme="minorEastAsia"/>
          <w:color w:val="000000"/>
          <w:sz w:val="24"/>
          <w:szCs w:val="24"/>
        </w:rPr>
      </w:pPr>
      <w:r>
        <w:rPr>
          <w:rFonts w:cs="宋体" w:asciiTheme="minorEastAsia" w:hAnsiTheme="minorEastAsia"/>
          <w:color w:val="000000"/>
          <w:sz w:val="24"/>
          <w:szCs w:val="24"/>
        </w:rPr>
        <w:t>相关资料的纸质材料保管不少于三年，电子材料不少于5年，确保评价过程和结果可追溯，可倒查。</w:t>
      </w:r>
    </w:p>
    <w:p w14:paraId="3602779F">
      <w:pPr>
        <w:autoSpaceDE w:val="0"/>
        <w:autoSpaceDN w:val="0"/>
        <w:spacing w:before="20" w:line="560" w:lineRule="atLeast"/>
        <w:ind w:right="720" w:firstLine="2880" w:firstLineChars="1200"/>
        <w:rPr>
          <w:rFonts w:cs="宋体" w:asciiTheme="minorEastAsia" w:hAnsiTheme="minorEastAsia"/>
          <w:color w:val="000000"/>
          <w:sz w:val="24"/>
          <w:szCs w:val="24"/>
        </w:rPr>
      </w:pPr>
      <w:r>
        <w:rPr>
          <w:rFonts w:cs="宋体" w:asciiTheme="minorEastAsia" w:hAnsiTheme="minorEastAsia"/>
          <w:color w:val="000000"/>
          <w:sz w:val="24"/>
          <w:szCs w:val="24"/>
        </w:rPr>
        <w:t>职业技能等级认定报名条件</w:t>
      </w:r>
    </w:p>
    <w:p w14:paraId="519E546D">
      <w:pPr>
        <w:autoSpaceDE w:val="0"/>
        <w:autoSpaceDN w:val="0"/>
        <w:spacing w:before="20" w:line="560" w:lineRule="atLeast"/>
        <w:ind w:right="720" w:firstLine="240" w:firstLineChars="100"/>
        <w:rPr>
          <w:rFonts w:asciiTheme="minorEastAsia" w:hAnsiTheme="minorEastAsia"/>
          <w:sz w:val="24"/>
          <w:szCs w:val="24"/>
        </w:rPr>
      </w:pPr>
      <w:r>
        <w:rPr>
          <w:rFonts w:asciiTheme="minorEastAsia" w:hAnsiTheme="minorEastAsia"/>
          <w:sz w:val="24"/>
          <w:szCs w:val="24"/>
        </w:rPr>
        <w:t>1.具备以下条件之一者，可申报五级/初级工：</w:t>
      </w:r>
    </w:p>
    <w:p w14:paraId="386CE22A">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1）年满 16 周岁，拟从事本职业或相关职业工作。</w:t>
      </w:r>
    </w:p>
    <w:p w14:paraId="41BEA1B0">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2）年满 16 周岁，从事本职业或相关职业工作。</w:t>
      </w:r>
    </w:p>
    <w:p w14:paraId="5F83BC9C">
      <w:pPr>
        <w:autoSpaceDE w:val="0"/>
        <w:autoSpaceDN w:val="0"/>
        <w:spacing w:before="20" w:line="560" w:lineRule="atLeast"/>
        <w:ind w:right="720" w:firstLine="240" w:firstLineChars="100"/>
        <w:rPr>
          <w:rFonts w:asciiTheme="minorEastAsia" w:hAnsiTheme="minorEastAsia"/>
          <w:sz w:val="24"/>
          <w:szCs w:val="24"/>
        </w:rPr>
      </w:pPr>
      <w:r>
        <w:rPr>
          <w:rFonts w:asciiTheme="minorEastAsia" w:hAnsiTheme="minorEastAsia"/>
          <w:sz w:val="24"/>
          <w:szCs w:val="24"/>
        </w:rPr>
        <w:t>2.具备以下条件之一者，可申报四级/中级工：</w:t>
      </w:r>
    </w:p>
    <w:p w14:paraId="5572C352">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1）累计从事本职业或相关职业工作满 5 年。</w:t>
      </w:r>
    </w:p>
    <w:p w14:paraId="165BE28C">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2）取得本职业或相关职业五级/初级工职业资格（职</w:t>
      </w:r>
      <w:r>
        <w:rPr>
          <w:rFonts w:hint="eastAsia" w:asciiTheme="minorEastAsia" w:hAnsiTheme="minorEastAsia"/>
          <w:sz w:val="24"/>
          <w:szCs w:val="24"/>
        </w:rPr>
        <w:t>业技能等级）证书后，累计从事本职业或相关职业工作满</w:t>
      </w:r>
      <w:r>
        <w:rPr>
          <w:rFonts w:asciiTheme="minorEastAsia" w:hAnsiTheme="minorEastAsia"/>
          <w:sz w:val="24"/>
          <w:szCs w:val="24"/>
        </w:rPr>
        <w:t>3</w:t>
      </w:r>
      <w:r>
        <w:rPr>
          <w:rFonts w:hint="eastAsia" w:asciiTheme="minorEastAsia" w:hAnsiTheme="minorEastAsia"/>
          <w:sz w:val="24"/>
          <w:szCs w:val="24"/>
        </w:rPr>
        <w:t>年。</w:t>
      </w:r>
    </w:p>
    <w:p w14:paraId="244E601C">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3）取得本专业或相关专业的技工院校或中等及以上</w:t>
      </w:r>
      <w:r>
        <w:rPr>
          <w:rFonts w:hint="eastAsia" w:asciiTheme="minorEastAsia" w:hAnsiTheme="minorEastAsia"/>
          <w:sz w:val="24"/>
          <w:szCs w:val="24"/>
        </w:rPr>
        <w:t>职业院校、专科及以上普通高等学校毕业证书（含在读应届毕业生）。</w:t>
      </w:r>
    </w:p>
    <w:p w14:paraId="35006779">
      <w:pPr>
        <w:autoSpaceDE w:val="0"/>
        <w:autoSpaceDN w:val="0"/>
        <w:spacing w:before="20" w:line="560" w:lineRule="atLeast"/>
        <w:ind w:right="720" w:firstLine="240" w:firstLineChars="100"/>
        <w:rPr>
          <w:rFonts w:asciiTheme="minorEastAsia" w:hAnsiTheme="minorEastAsia"/>
          <w:sz w:val="24"/>
          <w:szCs w:val="24"/>
        </w:rPr>
      </w:pPr>
      <w:r>
        <w:rPr>
          <w:rFonts w:asciiTheme="minorEastAsia" w:hAnsiTheme="minorEastAsia"/>
          <w:sz w:val="24"/>
          <w:szCs w:val="24"/>
        </w:rPr>
        <w:t>3.具备以下条件之一者，可申报三级/高级工：</w:t>
      </w:r>
    </w:p>
    <w:p w14:paraId="2F293E25">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1）累计从事本职业或相关职业工作满 10 年。</w:t>
      </w:r>
    </w:p>
    <w:p w14:paraId="3F5B524C">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2）取得本职业或相关职业四级/中级工职业资格（职</w:t>
      </w:r>
      <w:r>
        <w:rPr>
          <w:rFonts w:hint="eastAsia" w:asciiTheme="minorEastAsia" w:hAnsiTheme="minorEastAsia"/>
          <w:sz w:val="24"/>
          <w:szCs w:val="24"/>
        </w:rPr>
        <w:t>业技能等级）证书后，累计从事本职业或相关职业工作满</w:t>
      </w:r>
      <w:r>
        <w:rPr>
          <w:rFonts w:asciiTheme="minorEastAsia" w:hAnsiTheme="minorEastAsia"/>
          <w:sz w:val="24"/>
          <w:szCs w:val="24"/>
        </w:rPr>
        <w:t>4</w:t>
      </w:r>
      <w:r>
        <w:rPr>
          <w:rFonts w:hint="eastAsia" w:asciiTheme="minorEastAsia" w:hAnsiTheme="minorEastAsia"/>
          <w:sz w:val="24"/>
          <w:szCs w:val="24"/>
        </w:rPr>
        <w:t>年。</w:t>
      </w:r>
    </w:p>
    <w:p w14:paraId="1D6DCFFD">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3）取得符合专业对应关系的初级职称（专业技术人</w:t>
      </w:r>
      <w:r>
        <w:rPr>
          <w:rFonts w:hint="eastAsia" w:asciiTheme="minorEastAsia" w:hAnsiTheme="minorEastAsia"/>
          <w:sz w:val="24"/>
          <w:szCs w:val="24"/>
        </w:rPr>
        <w:t>员职业资格）后，累计从事本职业或相关职业工作满</w:t>
      </w:r>
      <w:r>
        <w:rPr>
          <w:rFonts w:asciiTheme="minorEastAsia" w:hAnsiTheme="minorEastAsia"/>
          <w:sz w:val="24"/>
          <w:szCs w:val="24"/>
        </w:rPr>
        <w:t xml:space="preserve"> 1 年。</w:t>
      </w:r>
    </w:p>
    <w:p w14:paraId="4CDA7D17">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4）取得本专业或相关专业的技工院校高级工班及以</w:t>
      </w:r>
      <w:r>
        <w:rPr>
          <w:rFonts w:hint="eastAsia" w:asciiTheme="minorEastAsia" w:hAnsiTheme="minorEastAsia"/>
          <w:sz w:val="24"/>
          <w:szCs w:val="24"/>
        </w:rPr>
        <w:t>上毕业证书（含在读应届毕业生）。</w:t>
      </w:r>
    </w:p>
    <w:p w14:paraId="603FAD0F">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5）取得本职业或相关职业四级/中级工职业资格（职</w:t>
      </w:r>
      <w:r>
        <w:rPr>
          <w:rFonts w:hint="eastAsia" w:asciiTheme="minorEastAsia" w:hAnsiTheme="minorEastAsia"/>
          <w:sz w:val="24"/>
          <w:szCs w:val="24"/>
        </w:rPr>
        <w:t>业技能等级）证书，并取得高等职业学校、专科及以上普通高等学校本专业或相关专业毕业证书（含在读应届毕业生）。</w:t>
      </w:r>
    </w:p>
    <w:p w14:paraId="1BECD76A">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6）取得经评估论证的高等职业学校、专科及以上普</w:t>
      </w:r>
      <w:r>
        <w:rPr>
          <w:rFonts w:hint="eastAsia" w:asciiTheme="minorEastAsia" w:hAnsiTheme="minorEastAsia"/>
          <w:sz w:val="24"/>
          <w:szCs w:val="24"/>
        </w:rPr>
        <w:t>通高等学校本专业或相关专业的毕业证书（含在读应届毕业生）。</w:t>
      </w:r>
    </w:p>
    <w:p w14:paraId="563FA004">
      <w:pPr>
        <w:autoSpaceDE w:val="0"/>
        <w:autoSpaceDN w:val="0"/>
        <w:spacing w:before="20" w:line="560" w:lineRule="atLeast"/>
        <w:ind w:right="720"/>
        <w:rPr>
          <w:rFonts w:asciiTheme="minorEastAsia" w:hAnsiTheme="minorEastAsia"/>
          <w:sz w:val="24"/>
          <w:szCs w:val="24"/>
        </w:rPr>
      </w:pPr>
      <w:r>
        <w:rPr>
          <w:rFonts w:asciiTheme="minorEastAsia" w:hAnsiTheme="minorEastAsia"/>
          <w:sz w:val="24"/>
          <w:szCs w:val="24"/>
        </w:rPr>
        <w:t>4.具备以下条件之一者，可申报二级/技师：</w:t>
      </w:r>
    </w:p>
    <w:p w14:paraId="2F628A47">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1）取得本职业或相关职业三级/高级工职业资格（职</w:t>
      </w:r>
      <w:r>
        <w:rPr>
          <w:rFonts w:hint="eastAsia" w:asciiTheme="minorEastAsia" w:hAnsiTheme="minorEastAsia"/>
          <w:sz w:val="24"/>
          <w:szCs w:val="24"/>
        </w:rPr>
        <w:t>业技能等级）证书后，累计从事本职业或相关职业工作满</w:t>
      </w:r>
      <w:r>
        <w:rPr>
          <w:rFonts w:asciiTheme="minorEastAsia" w:hAnsiTheme="minorEastAsia"/>
          <w:sz w:val="24"/>
          <w:szCs w:val="24"/>
        </w:rPr>
        <w:t>5</w:t>
      </w:r>
      <w:r>
        <w:rPr>
          <w:rFonts w:hint="eastAsia" w:asciiTheme="minorEastAsia" w:hAnsiTheme="minorEastAsia"/>
          <w:sz w:val="24"/>
          <w:szCs w:val="24"/>
        </w:rPr>
        <w:t>年。</w:t>
      </w:r>
    </w:p>
    <w:p w14:paraId="2137F4EF">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2）取得符合专业对应关系的初级职称（专业技术人</w:t>
      </w:r>
      <w:r>
        <w:rPr>
          <w:rFonts w:hint="eastAsia" w:asciiTheme="minorEastAsia" w:hAnsiTheme="minorEastAsia"/>
          <w:sz w:val="24"/>
          <w:szCs w:val="24"/>
        </w:rPr>
        <w:t>员职业</w:t>
      </w:r>
      <w:r>
        <w:rPr>
          <w:rFonts w:asciiTheme="minorEastAsia" w:hAnsiTheme="minorEastAsia"/>
          <w:sz w:val="24"/>
          <w:szCs w:val="24"/>
        </w:rPr>
        <w:t xml:space="preserve"> 资格）后，累计从事本职业或相关职业工作满 5 年，</w:t>
      </w:r>
      <w:r>
        <w:rPr>
          <w:rFonts w:hint="eastAsia" w:asciiTheme="minorEastAsia" w:hAnsiTheme="minorEastAsia"/>
          <w:sz w:val="24"/>
          <w:szCs w:val="24"/>
        </w:rPr>
        <w:t>并在取得本职业或相关职业三级</w:t>
      </w:r>
      <w:r>
        <w:rPr>
          <w:rFonts w:asciiTheme="minorEastAsia" w:hAnsiTheme="minorEastAsia"/>
          <w:sz w:val="24"/>
          <w:szCs w:val="24"/>
        </w:rPr>
        <w:t>/高级工职业资格（职业技</w:t>
      </w:r>
      <w:r>
        <w:rPr>
          <w:rFonts w:hint="eastAsia" w:asciiTheme="minorEastAsia" w:hAnsiTheme="minorEastAsia"/>
          <w:sz w:val="24"/>
          <w:szCs w:val="24"/>
        </w:rPr>
        <w:t>能等级）证书后，从事本职业或相关职业工作满</w:t>
      </w:r>
      <w:r>
        <w:rPr>
          <w:rFonts w:asciiTheme="minorEastAsia" w:hAnsiTheme="minorEastAsia"/>
          <w:sz w:val="24"/>
          <w:szCs w:val="24"/>
        </w:rPr>
        <w:t xml:space="preserve"> 1 年。</w:t>
      </w:r>
    </w:p>
    <w:p w14:paraId="4B50C055">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3）取得符合专业对应关系的中级职称（专业技术人</w:t>
      </w:r>
      <w:r>
        <w:rPr>
          <w:rFonts w:hint="eastAsia" w:asciiTheme="minorEastAsia" w:hAnsiTheme="minorEastAsia"/>
          <w:sz w:val="24"/>
          <w:szCs w:val="24"/>
        </w:rPr>
        <w:t>员职业资格）后，累计从事本职业或相关职业工作满</w:t>
      </w:r>
      <w:r>
        <w:rPr>
          <w:rFonts w:asciiTheme="minorEastAsia" w:hAnsiTheme="minorEastAsia"/>
          <w:sz w:val="24"/>
          <w:szCs w:val="24"/>
        </w:rPr>
        <w:t xml:space="preserve"> 1 年。</w:t>
      </w:r>
    </w:p>
    <w:p w14:paraId="41FF9531">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4）取得本职业或相关职业三级/高级工职业资格（职</w:t>
      </w:r>
      <w:r>
        <w:rPr>
          <w:rFonts w:hint="eastAsia" w:asciiTheme="minorEastAsia" w:hAnsiTheme="minorEastAsia"/>
          <w:sz w:val="24"/>
          <w:szCs w:val="24"/>
        </w:rPr>
        <w:t>业技</w:t>
      </w:r>
      <w:r>
        <w:rPr>
          <w:rFonts w:asciiTheme="minorEastAsia" w:hAnsiTheme="minorEastAsia"/>
          <w:sz w:val="24"/>
          <w:szCs w:val="24"/>
        </w:rPr>
        <w:t xml:space="preserve"> 能等级）证书的高级技工学校、技师学院毕业生，累</w:t>
      </w:r>
      <w:r>
        <w:rPr>
          <w:rFonts w:hint="eastAsia" w:asciiTheme="minorEastAsia" w:hAnsiTheme="minorEastAsia"/>
          <w:sz w:val="24"/>
          <w:szCs w:val="24"/>
        </w:rPr>
        <w:t>计从事本职业或相关职业工作满</w:t>
      </w:r>
      <w:r>
        <w:rPr>
          <w:rFonts w:asciiTheme="minorEastAsia" w:hAnsiTheme="minorEastAsia"/>
          <w:sz w:val="24"/>
          <w:szCs w:val="24"/>
        </w:rPr>
        <w:t xml:space="preserve"> 2 年。</w:t>
      </w:r>
    </w:p>
    <w:p w14:paraId="342F8BE1">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5）取得本职业或相关职业三级/高级工职业资格（职</w:t>
      </w:r>
      <w:r>
        <w:rPr>
          <w:rFonts w:hint="eastAsia" w:asciiTheme="minorEastAsia" w:hAnsiTheme="minorEastAsia"/>
          <w:sz w:val="24"/>
          <w:szCs w:val="24"/>
        </w:rPr>
        <w:t>业技</w:t>
      </w:r>
      <w:r>
        <w:rPr>
          <w:rFonts w:asciiTheme="minorEastAsia" w:hAnsiTheme="minorEastAsia"/>
          <w:sz w:val="24"/>
          <w:szCs w:val="24"/>
        </w:rPr>
        <w:t xml:space="preserve"> 能等级）证书满 2 年的技师学院预备技师班、技师班</w:t>
      </w:r>
      <w:r>
        <w:rPr>
          <w:rFonts w:hint="eastAsia" w:asciiTheme="minorEastAsia" w:hAnsiTheme="minorEastAsia"/>
          <w:sz w:val="24"/>
          <w:szCs w:val="24"/>
        </w:rPr>
        <w:t>学生。</w:t>
      </w:r>
    </w:p>
    <w:p w14:paraId="5E0D19CA">
      <w:pPr>
        <w:autoSpaceDE w:val="0"/>
        <w:autoSpaceDN w:val="0"/>
        <w:spacing w:before="20" w:line="560" w:lineRule="atLeast"/>
        <w:ind w:right="720"/>
        <w:rPr>
          <w:rFonts w:asciiTheme="minorEastAsia" w:hAnsiTheme="minorEastAsia"/>
          <w:sz w:val="24"/>
          <w:szCs w:val="24"/>
        </w:rPr>
      </w:pPr>
      <w:r>
        <w:rPr>
          <w:rFonts w:asciiTheme="minorEastAsia" w:hAnsiTheme="minorEastAsia"/>
          <w:sz w:val="24"/>
          <w:szCs w:val="24"/>
        </w:rPr>
        <w:t>5.具备以下条件之一者，可申报一级/高级技师：</w:t>
      </w:r>
    </w:p>
    <w:p w14:paraId="58F51E11">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1）取得本职业或相关职业二级/技师职业资格(职业</w:t>
      </w:r>
      <w:r>
        <w:rPr>
          <w:rFonts w:hint="eastAsia" w:asciiTheme="minorEastAsia" w:hAnsiTheme="minorEastAsia"/>
          <w:sz w:val="24"/>
          <w:szCs w:val="24"/>
        </w:rPr>
        <w:t>技能等级</w:t>
      </w:r>
      <w:r>
        <w:rPr>
          <w:rFonts w:asciiTheme="minorEastAsia" w:hAnsiTheme="minorEastAsia"/>
          <w:sz w:val="24"/>
          <w:szCs w:val="24"/>
        </w:rPr>
        <w:t>)证书后，累计从事本职业或相关职业工作满 5 年。</w:t>
      </w:r>
    </w:p>
    <w:p w14:paraId="20592F05">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2）取得符合专业对应关系的中级职称后，累计从事</w:t>
      </w:r>
      <w:r>
        <w:rPr>
          <w:rFonts w:hint="eastAsia" w:asciiTheme="minorEastAsia" w:hAnsiTheme="minorEastAsia"/>
          <w:sz w:val="24"/>
          <w:szCs w:val="24"/>
        </w:rPr>
        <w:t>本职业或相关职业工作满</w:t>
      </w:r>
      <w:r>
        <w:rPr>
          <w:rFonts w:asciiTheme="minorEastAsia" w:hAnsiTheme="minorEastAsia"/>
          <w:sz w:val="24"/>
          <w:szCs w:val="24"/>
        </w:rPr>
        <w:t xml:space="preserve"> 5 年，并在取得本职业或相关职业</w:t>
      </w:r>
      <w:r>
        <w:rPr>
          <w:rFonts w:hint="eastAsia" w:asciiTheme="minorEastAsia" w:hAnsiTheme="minorEastAsia"/>
          <w:sz w:val="24"/>
          <w:szCs w:val="24"/>
        </w:rPr>
        <w:t>二级</w:t>
      </w:r>
      <w:r>
        <w:rPr>
          <w:rFonts w:asciiTheme="minorEastAsia" w:hAnsiTheme="minorEastAsia"/>
          <w:sz w:val="24"/>
          <w:szCs w:val="24"/>
        </w:rPr>
        <w:t>/技师职业资格(职业技能等级)证书后，从事本职业或</w:t>
      </w:r>
      <w:r>
        <w:rPr>
          <w:rFonts w:hint="eastAsia" w:asciiTheme="minorEastAsia" w:hAnsiTheme="minorEastAsia"/>
          <w:sz w:val="24"/>
          <w:szCs w:val="24"/>
        </w:rPr>
        <w:t>相关职业工作满</w:t>
      </w:r>
      <w:r>
        <w:rPr>
          <w:rFonts w:asciiTheme="minorEastAsia" w:hAnsiTheme="minorEastAsia"/>
          <w:sz w:val="24"/>
          <w:szCs w:val="24"/>
        </w:rPr>
        <w:t xml:space="preserve"> 1 年。</w:t>
      </w:r>
    </w:p>
    <w:p w14:paraId="312A0DC7">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3）取得符合专业对应关系的高级职称(专业技术人员</w:t>
      </w:r>
      <w:r>
        <w:rPr>
          <w:rFonts w:hint="eastAsia" w:asciiTheme="minorEastAsia" w:hAnsiTheme="minorEastAsia"/>
          <w:sz w:val="24"/>
          <w:szCs w:val="24"/>
        </w:rPr>
        <w:t>职业资格</w:t>
      </w:r>
      <w:r>
        <w:rPr>
          <w:rFonts w:asciiTheme="minorEastAsia" w:hAnsiTheme="minorEastAsia"/>
          <w:sz w:val="24"/>
          <w:szCs w:val="24"/>
        </w:rPr>
        <w:t>)后，累计从事本职业或相关职业工作满 1 年。</w:t>
      </w:r>
    </w:p>
    <w:p w14:paraId="327BCA14">
      <w:pPr>
        <w:autoSpaceDE w:val="0"/>
        <w:autoSpaceDN w:val="0"/>
        <w:spacing w:before="20" w:line="560" w:lineRule="atLeast"/>
        <w:ind w:right="720"/>
        <w:rPr>
          <w:rFonts w:asciiTheme="minorEastAsia" w:hAnsiTheme="minorEastAsia"/>
          <w:sz w:val="24"/>
          <w:szCs w:val="24"/>
        </w:rPr>
      </w:pPr>
    </w:p>
    <w:p w14:paraId="47284BB8">
      <w:pPr>
        <w:autoSpaceDE w:val="0"/>
        <w:autoSpaceDN w:val="0"/>
        <w:spacing w:before="20" w:line="560" w:lineRule="atLeast"/>
        <w:ind w:right="720" w:firstLine="2160" w:firstLineChars="900"/>
        <w:rPr>
          <w:rFonts w:cs="宋体" w:asciiTheme="minorEastAsia" w:hAnsiTheme="minorEastAsia"/>
          <w:color w:val="000000"/>
          <w:sz w:val="24"/>
          <w:szCs w:val="24"/>
        </w:rPr>
      </w:pPr>
    </w:p>
    <w:p w14:paraId="6C03E2EA">
      <w:pPr>
        <w:autoSpaceDE w:val="0"/>
        <w:autoSpaceDN w:val="0"/>
        <w:spacing w:before="20" w:line="560" w:lineRule="atLeast"/>
        <w:ind w:right="720" w:firstLine="2160" w:firstLineChars="900"/>
        <w:rPr>
          <w:rFonts w:cs="宋体" w:asciiTheme="minorEastAsia" w:hAnsiTheme="minorEastAsia"/>
          <w:color w:val="000000"/>
          <w:sz w:val="24"/>
          <w:szCs w:val="24"/>
        </w:rPr>
      </w:pPr>
    </w:p>
    <w:p w14:paraId="11A39122">
      <w:pPr>
        <w:autoSpaceDE w:val="0"/>
        <w:autoSpaceDN w:val="0"/>
        <w:spacing w:before="20" w:line="560" w:lineRule="atLeast"/>
        <w:ind w:right="720" w:firstLine="2160" w:firstLineChars="900"/>
        <w:rPr>
          <w:rFonts w:cs="宋体" w:asciiTheme="minorEastAsia" w:hAnsiTheme="minorEastAsia"/>
          <w:color w:val="000000"/>
          <w:sz w:val="24"/>
          <w:szCs w:val="24"/>
        </w:rPr>
      </w:pPr>
    </w:p>
    <w:p w14:paraId="6DCD8885">
      <w:pPr>
        <w:autoSpaceDE w:val="0"/>
        <w:autoSpaceDN w:val="0"/>
        <w:spacing w:before="20" w:line="560" w:lineRule="atLeast"/>
        <w:ind w:right="720" w:firstLine="2160" w:firstLineChars="900"/>
        <w:rPr>
          <w:rFonts w:cs="宋体" w:asciiTheme="minorEastAsia" w:hAnsiTheme="minorEastAsia"/>
          <w:color w:val="000000"/>
          <w:sz w:val="24"/>
          <w:szCs w:val="24"/>
        </w:rPr>
      </w:pPr>
    </w:p>
    <w:p w14:paraId="321B5CDB">
      <w:pPr>
        <w:autoSpaceDE w:val="0"/>
        <w:autoSpaceDN w:val="0"/>
        <w:spacing w:before="20" w:line="560" w:lineRule="atLeast"/>
        <w:ind w:right="720" w:firstLine="2160" w:firstLineChars="900"/>
        <w:rPr>
          <w:rFonts w:cs="宋体" w:asciiTheme="minorEastAsia" w:hAnsiTheme="minorEastAsia"/>
          <w:color w:val="000000"/>
          <w:sz w:val="24"/>
          <w:szCs w:val="24"/>
        </w:rPr>
      </w:pPr>
    </w:p>
    <w:p w14:paraId="33100C71">
      <w:pPr>
        <w:autoSpaceDE w:val="0"/>
        <w:autoSpaceDN w:val="0"/>
        <w:spacing w:before="20" w:line="560" w:lineRule="atLeast"/>
        <w:ind w:right="720" w:firstLine="2160" w:firstLineChars="900"/>
        <w:rPr>
          <w:rFonts w:cs="宋体" w:asciiTheme="minorEastAsia" w:hAnsiTheme="minorEastAsia"/>
          <w:color w:val="000000"/>
          <w:sz w:val="24"/>
          <w:szCs w:val="24"/>
        </w:rPr>
      </w:pPr>
    </w:p>
    <w:p w14:paraId="299986BC">
      <w:pPr>
        <w:autoSpaceDE w:val="0"/>
        <w:autoSpaceDN w:val="0"/>
        <w:spacing w:before="20" w:line="560" w:lineRule="atLeast"/>
        <w:ind w:right="720" w:firstLine="2160" w:firstLineChars="900"/>
        <w:rPr>
          <w:rFonts w:cs="宋体" w:asciiTheme="minorEastAsia" w:hAnsiTheme="minorEastAsia"/>
          <w:color w:val="000000"/>
          <w:sz w:val="24"/>
          <w:szCs w:val="24"/>
        </w:rPr>
      </w:pPr>
    </w:p>
    <w:p w14:paraId="046F4EC0">
      <w:pPr>
        <w:autoSpaceDE w:val="0"/>
        <w:autoSpaceDN w:val="0"/>
        <w:spacing w:before="20" w:line="560" w:lineRule="atLeast"/>
        <w:ind w:right="720" w:firstLine="2160" w:firstLineChars="900"/>
        <w:rPr>
          <w:rFonts w:cs="宋体" w:asciiTheme="minorEastAsia" w:hAnsiTheme="minorEastAsia"/>
          <w:color w:val="000000"/>
          <w:sz w:val="24"/>
          <w:szCs w:val="24"/>
        </w:rPr>
      </w:pPr>
    </w:p>
    <w:p w14:paraId="1756E12A">
      <w:pPr>
        <w:autoSpaceDE w:val="0"/>
        <w:autoSpaceDN w:val="0"/>
        <w:spacing w:before="20" w:line="560" w:lineRule="atLeast"/>
        <w:ind w:right="720" w:firstLine="2160" w:firstLineChars="900"/>
        <w:rPr>
          <w:rFonts w:cs="宋体" w:asciiTheme="minorEastAsia" w:hAnsiTheme="minorEastAsia"/>
          <w:color w:val="000000"/>
          <w:sz w:val="24"/>
          <w:szCs w:val="24"/>
        </w:rPr>
      </w:pPr>
    </w:p>
    <w:p w14:paraId="3B54AC8D">
      <w:pPr>
        <w:autoSpaceDE w:val="0"/>
        <w:autoSpaceDN w:val="0"/>
        <w:spacing w:before="20" w:line="560" w:lineRule="atLeast"/>
        <w:ind w:right="720" w:firstLine="2160" w:firstLineChars="900"/>
        <w:rPr>
          <w:rFonts w:cs="宋体" w:asciiTheme="minorEastAsia" w:hAnsiTheme="minorEastAsia"/>
          <w:color w:val="000000"/>
          <w:sz w:val="24"/>
          <w:szCs w:val="24"/>
        </w:rPr>
      </w:pPr>
    </w:p>
    <w:p w14:paraId="7888067B">
      <w:pPr>
        <w:autoSpaceDE w:val="0"/>
        <w:autoSpaceDN w:val="0"/>
        <w:spacing w:before="20" w:line="560" w:lineRule="atLeast"/>
        <w:ind w:right="720" w:firstLine="2160" w:firstLineChars="900"/>
        <w:rPr>
          <w:rFonts w:cs="宋体" w:asciiTheme="minorEastAsia" w:hAnsiTheme="minorEastAsia"/>
          <w:color w:val="000000"/>
          <w:sz w:val="24"/>
          <w:szCs w:val="24"/>
        </w:rPr>
      </w:pPr>
    </w:p>
    <w:p w14:paraId="1A148954">
      <w:pPr>
        <w:autoSpaceDE w:val="0"/>
        <w:autoSpaceDN w:val="0"/>
        <w:spacing w:before="20" w:line="560" w:lineRule="atLeast"/>
        <w:ind w:right="720" w:firstLine="2160" w:firstLineChars="900"/>
        <w:rPr>
          <w:rFonts w:cs="宋体" w:asciiTheme="minorEastAsia" w:hAnsiTheme="minorEastAsia"/>
          <w:color w:val="000000"/>
          <w:sz w:val="24"/>
          <w:szCs w:val="24"/>
        </w:rPr>
      </w:pPr>
    </w:p>
    <w:p w14:paraId="7FC51FB0">
      <w:pPr>
        <w:autoSpaceDE w:val="0"/>
        <w:autoSpaceDN w:val="0"/>
        <w:spacing w:before="20" w:line="560" w:lineRule="atLeast"/>
        <w:ind w:right="720" w:firstLine="2160" w:firstLineChars="900"/>
        <w:rPr>
          <w:rFonts w:cs="宋体" w:asciiTheme="minorEastAsia" w:hAnsiTheme="minorEastAsia"/>
          <w:color w:val="000000"/>
          <w:sz w:val="24"/>
          <w:szCs w:val="24"/>
        </w:rPr>
      </w:pPr>
    </w:p>
    <w:p w14:paraId="7A4D02B7">
      <w:pPr>
        <w:autoSpaceDE w:val="0"/>
        <w:autoSpaceDN w:val="0"/>
        <w:spacing w:before="20" w:line="560" w:lineRule="atLeast"/>
        <w:ind w:right="720" w:firstLine="2160" w:firstLineChars="900"/>
        <w:rPr>
          <w:rFonts w:cs="宋体" w:asciiTheme="minorEastAsia" w:hAnsiTheme="minorEastAsia"/>
          <w:color w:val="000000"/>
          <w:sz w:val="24"/>
          <w:szCs w:val="24"/>
        </w:rPr>
      </w:pPr>
    </w:p>
    <w:p w14:paraId="46BD7D8E">
      <w:pPr>
        <w:autoSpaceDE w:val="0"/>
        <w:autoSpaceDN w:val="0"/>
        <w:spacing w:before="20" w:line="560" w:lineRule="atLeast"/>
        <w:ind w:right="720" w:firstLine="2160" w:firstLineChars="900"/>
        <w:rPr>
          <w:rFonts w:asciiTheme="minorEastAsia" w:hAnsiTheme="minorEastAsia"/>
          <w:sz w:val="24"/>
          <w:szCs w:val="24"/>
        </w:rPr>
      </w:pPr>
      <w:r>
        <w:rPr>
          <w:rFonts w:cs="宋体" w:asciiTheme="minorEastAsia" w:hAnsiTheme="minorEastAsia"/>
          <w:color w:val="000000"/>
          <w:sz w:val="24"/>
          <w:szCs w:val="24"/>
        </w:rPr>
        <w:t>职业技能等级认定考点考务工作人员安排情况表</w:t>
      </w:r>
    </w:p>
    <w:p w14:paraId="64727BE9">
      <w:pPr>
        <w:spacing w:line="160" w:lineRule="exact"/>
        <w:rPr>
          <w:rFonts w:asciiTheme="minorEastAsia" w:hAnsiTheme="minorEastAsia"/>
          <w:sz w:val="24"/>
          <w:szCs w:val="24"/>
        </w:rPr>
      </w:pPr>
    </w:p>
    <w:tbl>
      <w:tblPr>
        <w:tblStyle w:val="5"/>
        <w:tblW w:w="0" w:type="auto"/>
        <w:tblInd w:w="795"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940"/>
        <w:gridCol w:w="2580"/>
        <w:gridCol w:w="4760"/>
        <w:gridCol w:w="851"/>
      </w:tblGrid>
      <w:tr w14:paraId="7D1BF3E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92" w:hRule="atLeast"/>
        </w:trPr>
        <w:tc>
          <w:tcPr>
            <w:tcW w:w="940" w:type="dxa"/>
            <w:vAlign w:val="center"/>
          </w:tcPr>
          <w:p w14:paraId="079A7F97">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序号</w:t>
            </w:r>
          </w:p>
        </w:tc>
        <w:tc>
          <w:tcPr>
            <w:tcW w:w="2580" w:type="dxa"/>
            <w:vAlign w:val="center"/>
          </w:tcPr>
          <w:p w14:paraId="71ED0815">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考务职称</w:t>
            </w:r>
          </w:p>
        </w:tc>
        <w:tc>
          <w:tcPr>
            <w:tcW w:w="4760" w:type="dxa"/>
            <w:vAlign w:val="center"/>
          </w:tcPr>
          <w:p w14:paraId="35958F96">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姓名</w:t>
            </w:r>
          </w:p>
        </w:tc>
        <w:tc>
          <w:tcPr>
            <w:tcW w:w="851" w:type="dxa"/>
            <w:vAlign w:val="center"/>
          </w:tcPr>
          <w:p w14:paraId="38BFD4E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备注</w:t>
            </w:r>
          </w:p>
        </w:tc>
      </w:tr>
      <w:tr w14:paraId="698452D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3" w:hRule="atLeast"/>
        </w:trPr>
        <w:tc>
          <w:tcPr>
            <w:tcW w:w="940" w:type="dxa"/>
            <w:vAlign w:val="center"/>
          </w:tcPr>
          <w:p w14:paraId="4DB020DD">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w:t>
            </w:r>
          </w:p>
        </w:tc>
        <w:tc>
          <w:tcPr>
            <w:tcW w:w="2580" w:type="dxa"/>
            <w:vAlign w:val="center"/>
          </w:tcPr>
          <w:p w14:paraId="008A48FE">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负责人兼主考</w:t>
            </w:r>
          </w:p>
        </w:tc>
        <w:tc>
          <w:tcPr>
            <w:tcW w:w="4760" w:type="dxa"/>
            <w:vAlign w:val="center"/>
          </w:tcPr>
          <w:p w14:paraId="6E8675AB">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訾胜军</w:t>
            </w:r>
          </w:p>
        </w:tc>
        <w:tc>
          <w:tcPr>
            <w:tcW w:w="851" w:type="dxa"/>
            <w:vAlign w:val="center"/>
          </w:tcPr>
          <w:p w14:paraId="5CBDC10B">
            <w:pPr>
              <w:spacing w:line="240" w:lineRule="exact"/>
              <w:rPr>
                <w:rFonts w:ascii="仿宋" w:hAnsi="仿宋" w:eastAsia="仿宋"/>
                <w:sz w:val="22"/>
                <w:szCs w:val="20"/>
              </w:rPr>
            </w:pPr>
          </w:p>
        </w:tc>
      </w:tr>
      <w:tr w14:paraId="243E8C4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33" w:hRule="atLeast"/>
        </w:trPr>
        <w:tc>
          <w:tcPr>
            <w:tcW w:w="940" w:type="dxa"/>
            <w:vAlign w:val="center"/>
          </w:tcPr>
          <w:p w14:paraId="4ACDD549">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2</w:t>
            </w:r>
          </w:p>
        </w:tc>
        <w:tc>
          <w:tcPr>
            <w:tcW w:w="2580" w:type="dxa"/>
            <w:vAlign w:val="center"/>
          </w:tcPr>
          <w:p w14:paraId="299EF873">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副主考</w:t>
            </w:r>
          </w:p>
        </w:tc>
        <w:tc>
          <w:tcPr>
            <w:tcW w:w="4760" w:type="dxa"/>
            <w:vAlign w:val="center"/>
          </w:tcPr>
          <w:p w14:paraId="298D0D26">
            <w:pPr>
              <w:autoSpaceDE w:val="0"/>
              <w:autoSpaceDN w:val="0"/>
              <w:spacing w:line="260" w:lineRule="atLeast"/>
              <w:jc w:val="center"/>
              <w:rPr>
                <w:rFonts w:hint="eastAsia" w:ascii="仿宋" w:hAnsi="仿宋" w:eastAsia="仿宋"/>
                <w:sz w:val="22"/>
                <w:szCs w:val="20"/>
                <w:lang w:eastAsia="zh-CN"/>
              </w:rPr>
            </w:pPr>
            <w:r>
              <w:rPr>
                <w:rFonts w:hint="eastAsia" w:ascii="仿宋" w:hAnsi="仿宋" w:eastAsia="仿宋"/>
                <w:sz w:val="22"/>
                <w:szCs w:val="20"/>
                <w:lang w:val="en-US" w:eastAsia="zh-CN"/>
              </w:rPr>
              <w:t>窦贤逢</w:t>
            </w:r>
          </w:p>
        </w:tc>
        <w:tc>
          <w:tcPr>
            <w:tcW w:w="851" w:type="dxa"/>
            <w:vAlign w:val="center"/>
          </w:tcPr>
          <w:p w14:paraId="0BACD4F2">
            <w:pPr>
              <w:spacing w:line="240" w:lineRule="exact"/>
              <w:rPr>
                <w:rFonts w:ascii="仿宋" w:hAnsi="仿宋" w:eastAsia="仿宋"/>
                <w:sz w:val="22"/>
                <w:szCs w:val="20"/>
              </w:rPr>
            </w:pPr>
          </w:p>
        </w:tc>
      </w:tr>
      <w:tr w14:paraId="3903A64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31" w:hRule="atLeast"/>
        </w:trPr>
        <w:tc>
          <w:tcPr>
            <w:tcW w:w="940" w:type="dxa"/>
            <w:vAlign w:val="center"/>
          </w:tcPr>
          <w:p w14:paraId="3882C8DE">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3</w:t>
            </w:r>
          </w:p>
        </w:tc>
        <w:tc>
          <w:tcPr>
            <w:tcW w:w="2580" w:type="dxa"/>
            <w:vAlign w:val="center"/>
          </w:tcPr>
          <w:p w14:paraId="5A51EBA6">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监考人员</w:t>
            </w:r>
          </w:p>
        </w:tc>
        <w:tc>
          <w:tcPr>
            <w:tcW w:w="4760" w:type="dxa"/>
            <w:vAlign w:val="center"/>
          </w:tcPr>
          <w:p w14:paraId="4484604D">
            <w:pPr>
              <w:autoSpaceDE w:val="0"/>
              <w:autoSpaceDN w:val="0"/>
              <w:spacing w:line="260" w:lineRule="atLeast"/>
              <w:jc w:val="center"/>
              <w:rPr>
                <w:rFonts w:ascii="仿宋" w:hAnsi="仿宋" w:eastAsia="仿宋"/>
                <w:sz w:val="22"/>
                <w:szCs w:val="20"/>
              </w:rPr>
            </w:pPr>
            <w:r>
              <w:rPr>
                <w:rFonts w:ascii="仿宋" w:hAnsi="仿宋" w:eastAsia="仿宋"/>
                <w:sz w:val="22"/>
                <w:szCs w:val="20"/>
              </w:rPr>
              <w:t>郑金锋、乔伟</w:t>
            </w:r>
          </w:p>
        </w:tc>
        <w:tc>
          <w:tcPr>
            <w:tcW w:w="851" w:type="dxa"/>
            <w:vAlign w:val="center"/>
          </w:tcPr>
          <w:p w14:paraId="21F5E090">
            <w:pPr>
              <w:spacing w:line="240" w:lineRule="exact"/>
              <w:rPr>
                <w:rFonts w:ascii="仿宋" w:hAnsi="仿宋" w:eastAsia="仿宋"/>
                <w:sz w:val="22"/>
                <w:szCs w:val="20"/>
              </w:rPr>
            </w:pPr>
          </w:p>
        </w:tc>
      </w:tr>
      <w:tr w14:paraId="55CF987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0" w:hRule="atLeast"/>
        </w:trPr>
        <w:tc>
          <w:tcPr>
            <w:tcW w:w="940" w:type="dxa"/>
            <w:vAlign w:val="center"/>
          </w:tcPr>
          <w:p w14:paraId="542454E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4</w:t>
            </w:r>
          </w:p>
        </w:tc>
        <w:tc>
          <w:tcPr>
            <w:tcW w:w="2580" w:type="dxa"/>
            <w:vAlign w:val="center"/>
          </w:tcPr>
          <w:p w14:paraId="781B7C15">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考评员</w:t>
            </w:r>
          </w:p>
        </w:tc>
        <w:tc>
          <w:tcPr>
            <w:tcW w:w="4760" w:type="dxa"/>
            <w:vAlign w:val="center"/>
          </w:tcPr>
          <w:p w14:paraId="387DA5E7">
            <w:pPr>
              <w:autoSpaceDE w:val="0"/>
              <w:autoSpaceDN w:val="0"/>
              <w:spacing w:line="260" w:lineRule="atLeast"/>
              <w:jc w:val="center"/>
              <w:rPr>
                <w:rFonts w:ascii="仿宋" w:hAnsi="仿宋" w:eastAsia="仿宋" w:cs="宋体"/>
                <w:color w:val="000000"/>
                <w:sz w:val="22"/>
                <w:szCs w:val="20"/>
              </w:rPr>
            </w:pPr>
            <w:r>
              <w:rPr>
                <w:rFonts w:hint="eastAsia" w:ascii="仿宋" w:hAnsi="仿宋" w:eastAsia="仿宋"/>
                <w:sz w:val="22"/>
                <w:szCs w:val="20"/>
              </w:rPr>
              <w:t>窦贤逢、</w:t>
            </w:r>
            <w:r>
              <w:rPr>
                <w:rFonts w:hint="eastAsia" w:ascii="仿宋" w:hAnsi="仿宋" w:eastAsia="仿宋"/>
                <w:sz w:val="22"/>
                <w:szCs w:val="20"/>
                <w:lang w:val="en-US" w:eastAsia="zh-CN"/>
              </w:rPr>
              <w:t>郑金锋、关忠、王文霞</w:t>
            </w:r>
          </w:p>
        </w:tc>
        <w:tc>
          <w:tcPr>
            <w:tcW w:w="851" w:type="dxa"/>
            <w:vAlign w:val="center"/>
          </w:tcPr>
          <w:p w14:paraId="0252328C">
            <w:pPr>
              <w:spacing w:line="240" w:lineRule="exact"/>
              <w:rPr>
                <w:rFonts w:ascii="仿宋" w:hAnsi="仿宋" w:eastAsia="仿宋"/>
                <w:sz w:val="22"/>
                <w:szCs w:val="20"/>
              </w:rPr>
            </w:pPr>
          </w:p>
        </w:tc>
      </w:tr>
      <w:tr w14:paraId="519EE5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7" w:hRule="atLeast"/>
        </w:trPr>
        <w:tc>
          <w:tcPr>
            <w:tcW w:w="940" w:type="dxa"/>
            <w:vAlign w:val="center"/>
          </w:tcPr>
          <w:p w14:paraId="1C6DFDE1">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5</w:t>
            </w:r>
          </w:p>
        </w:tc>
        <w:tc>
          <w:tcPr>
            <w:tcW w:w="2580" w:type="dxa"/>
            <w:vAlign w:val="center"/>
          </w:tcPr>
          <w:p w14:paraId="6890CB93">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计算机维护人员</w:t>
            </w:r>
          </w:p>
        </w:tc>
        <w:tc>
          <w:tcPr>
            <w:tcW w:w="4760" w:type="dxa"/>
            <w:vAlign w:val="center"/>
          </w:tcPr>
          <w:p w14:paraId="39788E9B">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郑金锋</w:t>
            </w:r>
          </w:p>
        </w:tc>
        <w:tc>
          <w:tcPr>
            <w:tcW w:w="851" w:type="dxa"/>
            <w:vAlign w:val="center"/>
          </w:tcPr>
          <w:p w14:paraId="65EC8269">
            <w:pPr>
              <w:spacing w:line="240" w:lineRule="exact"/>
              <w:rPr>
                <w:rFonts w:ascii="仿宋" w:hAnsi="仿宋" w:eastAsia="仿宋"/>
                <w:sz w:val="22"/>
                <w:szCs w:val="20"/>
              </w:rPr>
            </w:pPr>
          </w:p>
        </w:tc>
      </w:tr>
      <w:tr w14:paraId="2D83880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48" w:hRule="atLeast"/>
        </w:trPr>
        <w:tc>
          <w:tcPr>
            <w:tcW w:w="940" w:type="dxa"/>
            <w:vAlign w:val="center"/>
          </w:tcPr>
          <w:p w14:paraId="79A6EB8E">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6</w:t>
            </w:r>
          </w:p>
        </w:tc>
        <w:tc>
          <w:tcPr>
            <w:tcW w:w="2580" w:type="dxa"/>
            <w:vAlign w:val="center"/>
          </w:tcPr>
          <w:p w14:paraId="5B7D30E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外部督导员</w:t>
            </w:r>
          </w:p>
        </w:tc>
        <w:tc>
          <w:tcPr>
            <w:tcW w:w="4760" w:type="dxa"/>
          </w:tcPr>
          <w:p w14:paraId="1B1A6551">
            <w:pPr>
              <w:autoSpaceDE w:val="0"/>
              <w:autoSpaceDN w:val="0"/>
              <w:spacing w:before="100" w:line="260" w:lineRule="atLeast"/>
              <w:ind w:firstLine="180"/>
              <w:rPr>
                <w:rFonts w:ascii="仿宋" w:hAnsi="仿宋" w:eastAsia="仿宋" w:cs="宋体"/>
                <w:color w:val="000000"/>
                <w:sz w:val="22"/>
                <w:szCs w:val="20"/>
              </w:rPr>
            </w:pPr>
            <w:r>
              <w:rPr>
                <w:rFonts w:ascii="仿宋" w:hAnsi="仿宋" w:eastAsia="仿宋" w:cs="宋体"/>
                <w:color w:val="000000"/>
                <w:sz w:val="22"/>
                <w:szCs w:val="20"/>
              </w:rPr>
              <w:t>泰山区公共就业和人才服务中心技能人才评价</w:t>
            </w:r>
          </w:p>
          <w:p w14:paraId="7B92BA57">
            <w:pPr>
              <w:autoSpaceDE w:val="0"/>
              <w:autoSpaceDN w:val="0"/>
              <w:spacing w:before="100" w:line="260" w:lineRule="atLeast"/>
              <w:ind w:firstLine="1100" w:firstLineChars="500"/>
              <w:rPr>
                <w:rFonts w:ascii="仿宋" w:hAnsi="仿宋" w:eastAsia="仿宋"/>
                <w:sz w:val="22"/>
                <w:szCs w:val="20"/>
              </w:rPr>
            </w:pPr>
            <w:r>
              <w:rPr>
                <w:rFonts w:ascii="仿宋" w:hAnsi="仿宋" w:eastAsia="仿宋" w:cs="宋体"/>
                <w:color w:val="000000"/>
                <w:sz w:val="22"/>
                <w:szCs w:val="20"/>
              </w:rPr>
              <w:t>管理服务科工作人员</w:t>
            </w:r>
          </w:p>
        </w:tc>
        <w:tc>
          <w:tcPr>
            <w:tcW w:w="851" w:type="dxa"/>
            <w:vAlign w:val="center"/>
          </w:tcPr>
          <w:p w14:paraId="135F52CF">
            <w:pPr>
              <w:spacing w:line="240" w:lineRule="exact"/>
              <w:rPr>
                <w:rFonts w:ascii="仿宋" w:hAnsi="仿宋" w:eastAsia="仿宋"/>
                <w:sz w:val="22"/>
                <w:szCs w:val="20"/>
              </w:rPr>
            </w:pPr>
          </w:p>
        </w:tc>
      </w:tr>
      <w:tr w14:paraId="0ECC40C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0" w:hRule="atLeast"/>
        </w:trPr>
        <w:tc>
          <w:tcPr>
            <w:tcW w:w="940" w:type="dxa"/>
            <w:vAlign w:val="center"/>
          </w:tcPr>
          <w:p w14:paraId="623B90EF">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7</w:t>
            </w:r>
          </w:p>
        </w:tc>
        <w:tc>
          <w:tcPr>
            <w:tcW w:w="2580" w:type="dxa"/>
            <w:vAlign w:val="center"/>
          </w:tcPr>
          <w:p w14:paraId="77305B8B">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内部督导员</w:t>
            </w:r>
          </w:p>
        </w:tc>
        <w:tc>
          <w:tcPr>
            <w:tcW w:w="4760" w:type="dxa"/>
            <w:vAlign w:val="center"/>
          </w:tcPr>
          <w:p w14:paraId="05469410">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訾胜军</w:t>
            </w:r>
          </w:p>
        </w:tc>
        <w:tc>
          <w:tcPr>
            <w:tcW w:w="851" w:type="dxa"/>
            <w:vAlign w:val="center"/>
          </w:tcPr>
          <w:p w14:paraId="69EE3FEE">
            <w:pPr>
              <w:spacing w:line="240" w:lineRule="exact"/>
              <w:rPr>
                <w:rFonts w:ascii="仿宋" w:hAnsi="仿宋" w:eastAsia="仿宋"/>
                <w:sz w:val="22"/>
                <w:szCs w:val="20"/>
              </w:rPr>
            </w:pPr>
          </w:p>
        </w:tc>
      </w:tr>
      <w:tr w14:paraId="1E6CFAE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3" w:hRule="atLeast"/>
        </w:trPr>
        <w:tc>
          <w:tcPr>
            <w:tcW w:w="940" w:type="dxa"/>
            <w:vAlign w:val="center"/>
          </w:tcPr>
          <w:p w14:paraId="32A378F0">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8</w:t>
            </w:r>
          </w:p>
        </w:tc>
        <w:tc>
          <w:tcPr>
            <w:tcW w:w="2580" w:type="dxa"/>
            <w:vAlign w:val="center"/>
          </w:tcPr>
          <w:p w14:paraId="3EB1829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报名负责人</w:t>
            </w:r>
          </w:p>
        </w:tc>
        <w:tc>
          <w:tcPr>
            <w:tcW w:w="4760" w:type="dxa"/>
            <w:vAlign w:val="center"/>
          </w:tcPr>
          <w:p w14:paraId="7E851BB4">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郑金锋</w:t>
            </w:r>
          </w:p>
        </w:tc>
        <w:tc>
          <w:tcPr>
            <w:tcW w:w="851" w:type="dxa"/>
            <w:vAlign w:val="center"/>
          </w:tcPr>
          <w:p w14:paraId="50A2D93E">
            <w:pPr>
              <w:spacing w:line="240" w:lineRule="exact"/>
              <w:rPr>
                <w:rFonts w:ascii="仿宋" w:hAnsi="仿宋" w:eastAsia="仿宋"/>
                <w:sz w:val="22"/>
                <w:szCs w:val="20"/>
              </w:rPr>
            </w:pPr>
          </w:p>
        </w:tc>
      </w:tr>
      <w:tr w14:paraId="158D1F9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9" w:hRule="atLeast"/>
        </w:trPr>
        <w:tc>
          <w:tcPr>
            <w:tcW w:w="940" w:type="dxa"/>
            <w:vAlign w:val="center"/>
          </w:tcPr>
          <w:p w14:paraId="2744C6B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9</w:t>
            </w:r>
          </w:p>
        </w:tc>
        <w:tc>
          <w:tcPr>
            <w:tcW w:w="2580" w:type="dxa"/>
            <w:vAlign w:val="center"/>
          </w:tcPr>
          <w:p w14:paraId="1E6ADF84">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资料审核人员</w:t>
            </w:r>
          </w:p>
        </w:tc>
        <w:tc>
          <w:tcPr>
            <w:tcW w:w="4760" w:type="dxa"/>
            <w:vAlign w:val="center"/>
          </w:tcPr>
          <w:p w14:paraId="6888ADEC">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郑金锋</w:t>
            </w:r>
            <w:r>
              <w:rPr>
                <w:rFonts w:hint="eastAsia" w:ascii="仿宋" w:hAnsi="仿宋" w:eastAsia="仿宋" w:cs="宋体"/>
                <w:color w:val="000000"/>
                <w:sz w:val="22"/>
                <w:szCs w:val="20"/>
              </w:rPr>
              <w:t xml:space="preserve"> 乔伟</w:t>
            </w:r>
          </w:p>
        </w:tc>
        <w:tc>
          <w:tcPr>
            <w:tcW w:w="851" w:type="dxa"/>
            <w:vAlign w:val="center"/>
          </w:tcPr>
          <w:p w14:paraId="708085AA">
            <w:pPr>
              <w:spacing w:line="240" w:lineRule="exact"/>
              <w:rPr>
                <w:rFonts w:ascii="仿宋" w:hAnsi="仿宋" w:eastAsia="仿宋"/>
                <w:sz w:val="22"/>
                <w:szCs w:val="20"/>
              </w:rPr>
            </w:pPr>
          </w:p>
        </w:tc>
      </w:tr>
      <w:tr w14:paraId="26460C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5" w:hRule="atLeast"/>
        </w:trPr>
        <w:tc>
          <w:tcPr>
            <w:tcW w:w="940" w:type="dxa"/>
            <w:vAlign w:val="center"/>
          </w:tcPr>
          <w:p w14:paraId="765CBD68">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10</w:t>
            </w:r>
          </w:p>
        </w:tc>
        <w:tc>
          <w:tcPr>
            <w:tcW w:w="2580" w:type="dxa"/>
            <w:vAlign w:val="center"/>
          </w:tcPr>
          <w:p w14:paraId="3A0446C3">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档案管理</w:t>
            </w:r>
          </w:p>
        </w:tc>
        <w:tc>
          <w:tcPr>
            <w:tcW w:w="4760" w:type="dxa"/>
            <w:vAlign w:val="center"/>
          </w:tcPr>
          <w:p w14:paraId="42BD41B5">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乔伟</w:t>
            </w:r>
          </w:p>
        </w:tc>
        <w:tc>
          <w:tcPr>
            <w:tcW w:w="851" w:type="dxa"/>
            <w:vAlign w:val="center"/>
          </w:tcPr>
          <w:p w14:paraId="307C0383">
            <w:pPr>
              <w:spacing w:line="240" w:lineRule="exact"/>
              <w:rPr>
                <w:rFonts w:ascii="仿宋" w:hAnsi="仿宋" w:eastAsia="仿宋"/>
                <w:sz w:val="22"/>
                <w:szCs w:val="20"/>
              </w:rPr>
            </w:pPr>
          </w:p>
        </w:tc>
      </w:tr>
      <w:tr w14:paraId="5B22B79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7" w:hRule="atLeast"/>
        </w:trPr>
        <w:tc>
          <w:tcPr>
            <w:tcW w:w="940" w:type="dxa"/>
            <w:vAlign w:val="center"/>
          </w:tcPr>
          <w:p w14:paraId="394EC40D">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11</w:t>
            </w:r>
          </w:p>
        </w:tc>
        <w:tc>
          <w:tcPr>
            <w:tcW w:w="2580" w:type="dxa"/>
            <w:vAlign w:val="center"/>
          </w:tcPr>
          <w:p w14:paraId="17E01F9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理论考场考务人员</w:t>
            </w:r>
          </w:p>
        </w:tc>
        <w:tc>
          <w:tcPr>
            <w:tcW w:w="4760" w:type="dxa"/>
            <w:vAlign w:val="center"/>
          </w:tcPr>
          <w:p w14:paraId="1514195A">
            <w:pPr>
              <w:autoSpaceDE w:val="0"/>
              <w:autoSpaceDN w:val="0"/>
              <w:spacing w:line="260" w:lineRule="atLeast"/>
              <w:jc w:val="center"/>
              <w:rPr>
                <w:rFonts w:ascii="仿宋" w:hAnsi="仿宋" w:eastAsia="仿宋"/>
                <w:sz w:val="22"/>
                <w:szCs w:val="20"/>
              </w:rPr>
            </w:pPr>
            <w:r>
              <w:rPr>
                <w:rFonts w:ascii="仿宋" w:hAnsi="仿宋" w:eastAsia="仿宋"/>
                <w:sz w:val="22"/>
                <w:szCs w:val="20"/>
              </w:rPr>
              <w:t>郑金锋</w:t>
            </w:r>
          </w:p>
        </w:tc>
        <w:tc>
          <w:tcPr>
            <w:tcW w:w="851" w:type="dxa"/>
            <w:vAlign w:val="center"/>
          </w:tcPr>
          <w:p w14:paraId="3388A1B9">
            <w:pPr>
              <w:spacing w:line="240" w:lineRule="exact"/>
              <w:rPr>
                <w:rFonts w:ascii="仿宋" w:hAnsi="仿宋" w:eastAsia="仿宋"/>
                <w:sz w:val="22"/>
                <w:szCs w:val="20"/>
              </w:rPr>
            </w:pPr>
          </w:p>
        </w:tc>
      </w:tr>
      <w:tr w14:paraId="37379FC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3" w:hRule="atLeast"/>
        </w:trPr>
        <w:tc>
          <w:tcPr>
            <w:tcW w:w="940" w:type="dxa"/>
            <w:vAlign w:val="center"/>
          </w:tcPr>
          <w:p w14:paraId="57144891">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12</w:t>
            </w:r>
          </w:p>
        </w:tc>
        <w:tc>
          <w:tcPr>
            <w:tcW w:w="2580" w:type="dxa"/>
            <w:vAlign w:val="center"/>
          </w:tcPr>
          <w:p w14:paraId="3B90EF67">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技能操作考场考务人员</w:t>
            </w:r>
          </w:p>
        </w:tc>
        <w:tc>
          <w:tcPr>
            <w:tcW w:w="4760" w:type="dxa"/>
            <w:vAlign w:val="center"/>
          </w:tcPr>
          <w:p w14:paraId="6B7FFF0F">
            <w:pPr>
              <w:autoSpaceDE w:val="0"/>
              <w:autoSpaceDN w:val="0"/>
              <w:spacing w:line="260" w:lineRule="atLeast"/>
              <w:jc w:val="center"/>
              <w:rPr>
                <w:rFonts w:hint="default" w:ascii="仿宋" w:hAnsi="仿宋" w:eastAsia="仿宋"/>
                <w:sz w:val="22"/>
                <w:szCs w:val="20"/>
                <w:lang w:val="en-US" w:eastAsia="zh-CN"/>
              </w:rPr>
            </w:pPr>
            <w:r>
              <w:rPr>
                <w:rFonts w:hint="eastAsia" w:ascii="仿宋" w:hAnsi="仿宋" w:eastAsia="仿宋"/>
                <w:sz w:val="22"/>
                <w:szCs w:val="20"/>
                <w:lang w:val="en-US" w:eastAsia="zh-CN"/>
              </w:rPr>
              <w:t>窦贤逢</w:t>
            </w:r>
          </w:p>
        </w:tc>
        <w:tc>
          <w:tcPr>
            <w:tcW w:w="851" w:type="dxa"/>
            <w:vAlign w:val="center"/>
          </w:tcPr>
          <w:p w14:paraId="7B0CF485">
            <w:pPr>
              <w:spacing w:line="240" w:lineRule="exact"/>
              <w:rPr>
                <w:rFonts w:ascii="仿宋" w:hAnsi="仿宋" w:eastAsia="仿宋"/>
                <w:sz w:val="22"/>
                <w:szCs w:val="20"/>
              </w:rPr>
            </w:pPr>
          </w:p>
        </w:tc>
      </w:tr>
      <w:tr w14:paraId="0E06BD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40" w:hRule="atLeast"/>
        </w:trPr>
        <w:tc>
          <w:tcPr>
            <w:tcW w:w="940" w:type="dxa"/>
            <w:vAlign w:val="center"/>
          </w:tcPr>
          <w:p w14:paraId="0919B78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13</w:t>
            </w:r>
          </w:p>
        </w:tc>
        <w:tc>
          <w:tcPr>
            <w:tcW w:w="2580" w:type="dxa"/>
            <w:vAlign w:val="center"/>
          </w:tcPr>
          <w:p w14:paraId="2772CFBC">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巡视人员</w:t>
            </w:r>
          </w:p>
        </w:tc>
        <w:tc>
          <w:tcPr>
            <w:tcW w:w="4760" w:type="dxa"/>
            <w:vAlign w:val="center"/>
          </w:tcPr>
          <w:p w14:paraId="37EEC6DD">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泰安市公共就业和人才服务中心及泰山区公共就业和人才服务中心工作人员</w:t>
            </w:r>
          </w:p>
        </w:tc>
        <w:tc>
          <w:tcPr>
            <w:tcW w:w="851" w:type="dxa"/>
            <w:vAlign w:val="center"/>
          </w:tcPr>
          <w:p w14:paraId="4FD060C4">
            <w:pPr>
              <w:spacing w:line="240" w:lineRule="exact"/>
              <w:rPr>
                <w:rFonts w:ascii="仿宋" w:hAnsi="仿宋" w:eastAsia="仿宋"/>
                <w:sz w:val="22"/>
                <w:szCs w:val="20"/>
              </w:rPr>
            </w:pPr>
          </w:p>
        </w:tc>
      </w:tr>
      <w:tr w14:paraId="31EAD1A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6" w:hRule="atLeast"/>
        </w:trPr>
        <w:tc>
          <w:tcPr>
            <w:tcW w:w="940" w:type="dxa"/>
            <w:vAlign w:val="center"/>
          </w:tcPr>
          <w:p w14:paraId="24FEAA8D">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14</w:t>
            </w:r>
          </w:p>
        </w:tc>
        <w:tc>
          <w:tcPr>
            <w:tcW w:w="2580" w:type="dxa"/>
            <w:vAlign w:val="center"/>
          </w:tcPr>
          <w:p w14:paraId="013D5A34">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学员候考室考务人员</w:t>
            </w:r>
          </w:p>
        </w:tc>
        <w:tc>
          <w:tcPr>
            <w:tcW w:w="4760" w:type="dxa"/>
            <w:vAlign w:val="center"/>
          </w:tcPr>
          <w:p w14:paraId="01FA225E">
            <w:pPr>
              <w:autoSpaceDE w:val="0"/>
              <w:autoSpaceDN w:val="0"/>
              <w:spacing w:line="260" w:lineRule="atLeast"/>
              <w:jc w:val="center"/>
              <w:rPr>
                <w:rFonts w:ascii="仿宋" w:hAnsi="仿宋" w:eastAsia="仿宋"/>
                <w:sz w:val="22"/>
                <w:szCs w:val="20"/>
              </w:rPr>
            </w:pPr>
            <w:r>
              <w:rPr>
                <w:rFonts w:ascii="仿宋" w:hAnsi="仿宋" w:eastAsia="仿宋"/>
                <w:sz w:val="22"/>
                <w:szCs w:val="20"/>
              </w:rPr>
              <w:t>乔伟</w:t>
            </w:r>
            <w:r>
              <w:rPr>
                <w:rFonts w:ascii="仿宋" w:hAnsi="仿宋" w:eastAsia="仿宋" w:cs="宋体"/>
                <w:color w:val="000000"/>
                <w:sz w:val="22"/>
                <w:szCs w:val="20"/>
              </w:rPr>
              <w:t>、郑金锋</w:t>
            </w:r>
          </w:p>
        </w:tc>
        <w:tc>
          <w:tcPr>
            <w:tcW w:w="851" w:type="dxa"/>
            <w:vAlign w:val="center"/>
          </w:tcPr>
          <w:p w14:paraId="3483946D">
            <w:pPr>
              <w:spacing w:line="240" w:lineRule="exact"/>
              <w:rPr>
                <w:rFonts w:ascii="仿宋" w:hAnsi="仿宋" w:eastAsia="仿宋"/>
                <w:sz w:val="22"/>
                <w:szCs w:val="20"/>
              </w:rPr>
            </w:pPr>
          </w:p>
        </w:tc>
      </w:tr>
      <w:tr w14:paraId="60D8F48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9" w:hRule="atLeast"/>
        </w:trPr>
        <w:tc>
          <w:tcPr>
            <w:tcW w:w="940" w:type="dxa"/>
            <w:vAlign w:val="center"/>
          </w:tcPr>
          <w:p w14:paraId="60440CE3">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15</w:t>
            </w:r>
          </w:p>
        </w:tc>
        <w:tc>
          <w:tcPr>
            <w:tcW w:w="2580" w:type="dxa"/>
            <w:vAlign w:val="center"/>
          </w:tcPr>
          <w:p w14:paraId="1818BEE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实操统分人员</w:t>
            </w:r>
          </w:p>
        </w:tc>
        <w:tc>
          <w:tcPr>
            <w:tcW w:w="4760" w:type="dxa"/>
            <w:vAlign w:val="center"/>
          </w:tcPr>
          <w:p w14:paraId="55B3B55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乔伟、郑金锋</w:t>
            </w:r>
          </w:p>
        </w:tc>
        <w:tc>
          <w:tcPr>
            <w:tcW w:w="851" w:type="dxa"/>
            <w:vAlign w:val="center"/>
          </w:tcPr>
          <w:p w14:paraId="3330D026">
            <w:pPr>
              <w:spacing w:line="240" w:lineRule="exact"/>
              <w:rPr>
                <w:rFonts w:ascii="仿宋" w:hAnsi="仿宋" w:eastAsia="仿宋"/>
                <w:sz w:val="22"/>
                <w:szCs w:val="20"/>
              </w:rPr>
            </w:pPr>
          </w:p>
        </w:tc>
      </w:tr>
      <w:tr w14:paraId="74FFCFD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7" w:hRule="atLeast"/>
        </w:trPr>
        <w:tc>
          <w:tcPr>
            <w:tcW w:w="940" w:type="dxa"/>
            <w:vAlign w:val="center"/>
          </w:tcPr>
          <w:p w14:paraId="67600C48">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16</w:t>
            </w:r>
          </w:p>
        </w:tc>
        <w:tc>
          <w:tcPr>
            <w:tcW w:w="2580" w:type="dxa"/>
            <w:vAlign w:val="center"/>
          </w:tcPr>
          <w:p w14:paraId="127C739B">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系统操作人员(包括准考证和证书打印)</w:t>
            </w:r>
          </w:p>
        </w:tc>
        <w:tc>
          <w:tcPr>
            <w:tcW w:w="4760" w:type="dxa"/>
            <w:vAlign w:val="center"/>
          </w:tcPr>
          <w:p w14:paraId="48FA1EB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乔伟</w:t>
            </w:r>
          </w:p>
        </w:tc>
        <w:tc>
          <w:tcPr>
            <w:tcW w:w="851" w:type="dxa"/>
            <w:vAlign w:val="center"/>
          </w:tcPr>
          <w:p w14:paraId="3AB8F092">
            <w:pPr>
              <w:spacing w:line="240" w:lineRule="exact"/>
              <w:rPr>
                <w:rFonts w:ascii="仿宋" w:hAnsi="仿宋" w:eastAsia="仿宋"/>
                <w:sz w:val="22"/>
                <w:szCs w:val="20"/>
              </w:rPr>
            </w:pPr>
          </w:p>
        </w:tc>
      </w:tr>
      <w:tr w14:paraId="5A855C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9" w:hRule="atLeast"/>
        </w:trPr>
        <w:tc>
          <w:tcPr>
            <w:tcW w:w="940" w:type="dxa"/>
            <w:vAlign w:val="center"/>
          </w:tcPr>
          <w:p w14:paraId="0F2DED7E">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17</w:t>
            </w:r>
          </w:p>
        </w:tc>
        <w:tc>
          <w:tcPr>
            <w:tcW w:w="2580" w:type="dxa"/>
            <w:vAlign w:val="center"/>
          </w:tcPr>
          <w:p w14:paraId="3BB00AFC">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证书发放及证书领取表</w:t>
            </w:r>
          </w:p>
        </w:tc>
        <w:tc>
          <w:tcPr>
            <w:tcW w:w="4760" w:type="dxa"/>
            <w:vAlign w:val="center"/>
          </w:tcPr>
          <w:p w14:paraId="188FF43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郑金锋</w:t>
            </w:r>
          </w:p>
        </w:tc>
        <w:tc>
          <w:tcPr>
            <w:tcW w:w="851" w:type="dxa"/>
            <w:vAlign w:val="center"/>
          </w:tcPr>
          <w:p w14:paraId="5EBDD4FA">
            <w:pPr>
              <w:spacing w:line="240" w:lineRule="exact"/>
              <w:rPr>
                <w:rFonts w:ascii="仿宋" w:hAnsi="仿宋" w:eastAsia="仿宋"/>
                <w:sz w:val="22"/>
                <w:szCs w:val="20"/>
              </w:rPr>
            </w:pPr>
          </w:p>
        </w:tc>
      </w:tr>
    </w:tbl>
    <w:p w14:paraId="2D89BCDF">
      <w:pPr>
        <w:autoSpaceDE w:val="0"/>
        <w:autoSpaceDN w:val="0"/>
        <w:spacing w:before="560" w:line="480" w:lineRule="atLeast"/>
        <w:ind w:left="1580" w:firstLine="1440" w:firstLineChars="600"/>
        <w:rPr>
          <w:rFonts w:cs="宋体" w:asciiTheme="minorEastAsia" w:hAnsiTheme="minorEastAsia"/>
          <w:color w:val="000000"/>
          <w:sz w:val="24"/>
          <w:szCs w:val="24"/>
        </w:rPr>
      </w:pPr>
    </w:p>
    <w:p w14:paraId="7BD9B4F7">
      <w:pPr>
        <w:autoSpaceDE w:val="0"/>
        <w:autoSpaceDN w:val="0"/>
        <w:spacing w:before="560" w:line="480" w:lineRule="atLeast"/>
        <w:ind w:left="1580" w:firstLine="1440" w:firstLineChars="600"/>
        <w:rPr>
          <w:rFonts w:cs="宋体" w:asciiTheme="minorEastAsia" w:hAnsiTheme="minorEastAsia"/>
          <w:color w:val="000000"/>
          <w:sz w:val="24"/>
          <w:szCs w:val="24"/>
        </w:rPr>
      </w:pPr>
    </w:p>
    <w:p w14:paraId="340D53C4">
      <w:pPr>
        <w:autoSpaceDE w:val="0"/>
        <w:autoSpaceDN w:val="0"/>
        <w:spacing w:before="560" w:line="480" w:lineRule="atLeast"/>
        <w:ind w:left="1580" w:firstLine="1440" w:firstLineChars="600"/>
        <w:rPr>
          <w:rFonts w:cs="宋体" w:asciiTheme="minorEastAsia" w:hAnsiTheme="minorEastAsia"/>
          <w:color w:val="000000"/>
          <w:sz w:val="24"/>
          <w:szCs w:val="24"/>
        </w:rPr>
      </w:pPr>
    </w:p>
    <w:p w14:paraId="36680F17">
      <w:pPr>
        <w:autoSpaceDE w:val="0"/>
        <w:autoSpaceDN w:val="0"/>
        <w:spacing w:before="560" w:line="480" w:lineRule="atLeast"/>
        <w:ind w:left="1580" w:firstLine="1440" w:firstLineChars="600"/>
        <w:rPr>
          <w:rFonts w:cs="宋体" w:asciiTheme="minorEastAsia" w:hAnsiTheme="minorEastAsia"/>
          <w:color w:val="000000"/>
          <w:sz w:val="24"/>
          <w:szCs w:val="24"/>
        </w:rPr>
      </w:pPr>
    </w:p>
    <w:p w14:paraId="69895AE3">
      <w:pPr>
        <w:autoSpaceDE w:val="0"/>
        <w:autoSpaceDN w:val="0"/>
        <w:spacing w:before="560" w:line="480" w:lineRule="atLeast"/>
        <w:ind w:left="1580" w:firstLine="1687" w:firstLineChars="600"/>
        <w:rPr>
          <w:rFonts w:cs="宋体" w:asciiTheme="minorEastAsia" w:hAnsiTheme="minorEastAsia"/>
          <w:b/>
          <w:color w:val="000000"/>
          <w:sz w:val="28"/>
          <w:szCs w:val="24"/>
        </w:rPr>
      </w:pPr>
    </w:p>
    <w:p w14:paraId="67C6E806">
      <w:pPr>
        <w:autoSpaceDE w:val="0"/>
        <w:autoSpaceDN w:val="0"/>
        <w:spacing w:before="560" w:line="480" w:lineRule="atLeast"/>
        <w:ind w:left="1580" w:firstLine="1687" w:firstLineChars="600"/>
        <w:rPr>
          <w:rFonts w:asciiTheme="minorEastAsia" w:hAnsiTheme="minorEastAsia"/>
          <w:b/>
          <w:sz w:val="28"/>
          <w:szCs w:val="24"/>
        </w:rPr>
      </w:pPr>
      <w:r>
        <w:rPr>
          <w:rFonts w:cs="宋体" w:asciiTheme="minorEastAsia" w:hAnsiTheme="minorEastAsia"/>
          <w:b/>
          <w:color w:val="000000"/>
          <w:sz w:val="28"/>
          <w:szCs w:val="24"/>
        </w:rPr>
        <w:t>职业技能等级认定考点考务要求</w:t>
      </w:r>
    </w:p>
    <w:p w14:paraId="3E0C1589">
      <w:pPr>
        <w:numPr>
          <w:ilvl w:val="0"/>
          <w:numId w:val="1"/>
        </w:numPr>
        <w:autoSpaceDE w:val="0"/>
        <w:autoSpaceDN w:val="0"/>
        <w:spacing w:before="560" w:line="480" w:lineRule="atLeast"/>
        <w:ind w:firstLine="480" w:firstLineChars="200"/>
        <w:rPr>
          <w:rFonts w:asciiTheme="minorEastAsia" w:hAnsiTheme="minorEastAsia"/>
          <w:sz w:val="24"/>
          <w:szCs w:val="24"/>
        </w:rPr>
      </w:pPr>
      <w:r>
        <w:rPr>
          <w:rFonts w:cs="宋体" w:asciiTheme="minorEastAsia" w:hAnsiTheme="minorEastAsia"/>
          <w:color w:val="000000"/>
          <w:sz w:val="24"/>
          <w:szCs w:val="24"/>
        </w:rPr>
        <w:t>成立考点工作组。考点设主考1名，副主考若干名。严格按照《社会培训评价组织开展职业技能等级认定工作基本要求》组织考务工作，做到责任到人，分工明确，确保各项工作井然有序。认真做好实施方案及应急预案，确保考核工作安全、顺利实施。</w:t>
      </w:r>
    </w:p>
    <w:p w14:paraId="01A645B1">
      <w:pPr>
        <w:autoSpaceDE w:val="0"/>
        <w:autoSpaceDN w:val="0"/>
        <w:spacing w:before="20" w:line="507" w:lineRule="atLeast"/>
        <w:ind w:left="100" w:right="460" w:firstLine="480" w:firstLineChars="200"/>
        <w:rPr>
          <w:rFonts w:asciiTheme="minorEastAsia" w:hAnsiTheme="minorEastAsia"/>
          <w:sz w:val="24"/>
          <w:szCs w:val="24"/>
        </w:rPr>
      </w:pPr>
      <w:r>
        <w:rPr>
          <w:rFonts w:cs="宋体" w:asciiTheme="minorEastAsia" w:hAnsiTheme="minorEastAsia"/>
          <w:color w:val="000000"/>
          <w:sz w:val="24"/>
          <w:szCs w:val="24"/>
        </w:rPr>
        <w:t>二、考点门口悬挂“泰安市饭店烹饪协会职业技能等级认定考场”横幅，考点内主要道路和路口设有醒目的指示标志。应在显著位置张贴《考场规则》、《技能人才评价违纪违规行为处理工作指引(试行)》、考场分布图、考场安排表等。</w:t>
      </w:r>
    </w:p>
    <w:p w14:paraId="626D3BEB">
      <w:pPr>
        <w:autoSpaceDE w:val="0"/>
        <w:autoSpaceDN w:val="0"/>
        <w:spacing w:line="512" w:lineRule="atLeast"/>
        <w:ind w:left="120" w:right="480" w:firstLine="480" w:firstLineChars="200"/>
        <w:rPr>
          <w:rFonts w:asciiTheme="minorEastAsia" w:hAnsiTheme="minorEastAsia"/>
          <w:sz w:val="24"/>
          <w:szCs w:val="24"/>
        </w:rPr>
      </w:pPr>
      <w:r>
        <w:rPr>
          <w:rFonts w:cs="宋体" w:asciiTheme="minorEastAsia" w:hAnsiTheme="minorEastAsia"/>
          <w:color w:val="000000"/>
          <w:sz w:val="24"/>
          <w:szCs w:val="24"/>
        </w:rPr>
        <w:t>三、做好考务培训及人员安排。各考点于考前对监考人员、保密员及其他考核工作人员进行培训，使考务人员熟练掌握各项考务操作要求。每个考场设监考员两名。考前准备监考人员监考名单，考核开始前由巡视督导人员随机抽取确定监考场次。考点须配设试卷保管、收发、保卫、后勤、医务等工作人员，专门配备理论考场楼层工作人员、实操考核各职业(工种)工作人员。</w:t>
      </w:r>
    </w:p>
    <w:p w14:paraId="01B69346">
      <w:pPr>
        <w:autoSpaceDE w:val="0"/>
        <w:autoSpaceDN w:val="0"/>
        <w:spacing w:before="20" w:line="507" w:lineRule="atLeast"/>
        <w:ind w:left="80" w:right="540" w:firstLine="480" w:firstLineChars="200"/>
        <w:rPr>
          <w:rFonts w:asciiTheme="minorEastAsia" w:hAnsiTheme="minorEastAsia"/>
          <w:sz w:val="24"/>
          <w:szCs w:val="24"/>
        </w:rPr>
      </w:pPr>
      <w:r>
        <w:rPr>
          <w:rFonts w:cs="宋体" w:asciiTheme="minorEastAsia" w:hAnsiTheme="minorEastAsia"/>
          <w:color w:val="000000"/>
          <w:sz w:val="24"/>
          <w:szCs w:val="24"/>
        </w:rPr>
        <w:t>四、执行回避、交叉使用制度。所有参与考核组织工作的人员都应严格落实回避制度，考生的培训教师、实习指导老师、班主任均不得参与监考、考评工作。</w:t>
      </w:r>
    </w:p>
    <w:p w14:paraId="27BA036C">
      <w:pPr>
        <w:autoSpaceDE w:val="0"/>
        <w:autoSpaceDN w:val="0"/>
        <w:spacing w:before="20" w:line="510" w:lineRule="atLeast"/>
        <w:ind w:right="620" w:firstLine="480" w:firstLineChars="200"/>
        <w:rPr>
          <w:rFonts w:asciiTheme="minorEastAsia" w:hAnsiTheme="minorEastAsia"/>
          <w:sz w:val="24"/>
          <w:szCs w:val="24"/>
        </w:rPr>
      </w:pPr>
      <w:r>
        <w:rPr>
          <w:rFonts w:cs="宋体" w:asciiTheme="minorEastAsia" w:hAnsiTheme="minorEastAsia"/>
          <w:color w:val="000000"/>
          <w:sz w:val="24"/>
          <w:szCs w:val="24"/>
        </w:rPr>
        <w:t>五、加强试卷安全管理。考点向监考人员发放试卷必须严格执行考前发放试卷的时间规定，不得提前发放；监考人员不得在去考场的路上拆封试卷考核过程中，严禁任何人将试卷带出考场；考核结束后，要在统一的考务办公室封装试卷。</w:t>
      </w:r>
    </w:p>
    <w:p w14:paraId="579A227A">
      <w:pPr>
        <w:autoSpaceDE w:val="0"/>
        <w:autoSpaceDN w:val="0"/>
        <w:spacing w:line="507" w:lineRule="atLeast"/>
        <w:ind w:left="100" w:right="580" w:firstLine="480" w:firstLineChars="200"/>
        <w:rPr>
          <w:rFonts w:asciiTheme="minorEastAsia" w:hAnsiTheme="minorEastAsia"/>
          <w:sz w:val="24"/>
          <w:szCs w:val="24"/>
        </w:rPr>
      </w:pPr>
      <w:r>
        <w:rPr>
          <w:rFonts w:cs="宋体" w:asciiTheme="minorEastAsia" w:hAnsiTheme="minorEastAsia"/>
          <w:color w:val="000000"/>
          <w:sz w:val="24"/>
          <w:szCs w:val="24"/>
        </w:rPr>
        <w:t>六、加强监考人员的管理。要求监考人员严格按照规定要求履行监考职责，严肃考风考纪。考核期间，监考人员不得将手机等通讯工具带入考场，不得以任何理由将试卷带出或传出考场。</w:t>
      </w:r>
    </w:p>
    <w:p w14:paraId="7C925FEC">
      <w:pPr>
        <w:autoSpaceDE w:val="0"/>
        <w:autoSpaceDN w:val="0"/>
        <w:spacing w:line="507" w:lineRule="atLeast"/>
        <w:ind w:left="100" w:right="580" w:firstLine="480" w:firstLineChars="200"/>
        <w:rPr>
          <w:rFonts w:asciiTheme="minorEastAsia" w:hAnsiTheme="minorEastAsia"/>
          <w:sz w:val="24"/>
          <w:szCs w:val="24"/>
        </w:rPr>
      </w:pPr>
      <w:r>
        <w:rPr>
          <w:rFonts w:cs="宋体" w:asciiTheme="minorEastAsia" w:hAnsiTheme="minorEastAsia"/>
          <w:color w:val="000000"/>
          <w:sz w:val="24"/>
          <w:szCs w:val="24"/>
        </w:rPr>
        <w:t>七、 按要求准备理论、 实操考场。将理论、实操考场提前一天整理并封闭。应在考前将理论考场号、座号分别贴于教室门口、桌子上。考场设置应为环境安静、整洁、通风明亮、便于管理的标准教室，每个标准考场应考人员不得超过50名，实行单人、单桌，前后左右间距应保持80厘米以上。</w:t>
      </w:r>
    </w:p>
    <w:p w14:paraId="7CEB3A24">
      <w:pPr>
        <w:autoSpaceDE w:val="0"/>
        <w:autoSpaceDN w:val="0"/>
        <w:spacing w:before="20" w:line="550" w:lineRule="atLeast"/>
        <w:ind w:firstLine="480" w:firstLineChars="200"/>
        <w:rPr>
          <w:rFonts w:asciiTheme="minorEastAsia" w:hAnsiTheme="minorEastAsia"/>
          <w:sz w:val="24"/>
          <w:szCs w:val="24"/>
        </w:rPr>
      </w:pPr>
      <w:r>
        <w:rPr>
          <w:rFonts w:cs="宋体" w:asciiTheme="minorEastAsia" w:hAnsiTheme="minorEastAsia"/>
          <w:color w:val="000000"/>
          <w:sz w:val="24"/>
          <w:szCs w:val="24"/>
        </w:rPr>
        <w:t>实操操作考核应按照下发的备料单要求，提前两天将实操所需设备、工具、材料准备齐全，提前一天将应考人员参考顺序、轮次、安全注意事项贴于实操各考场醒目处。操作技能考核场地应整洁、卫生、明亮；设备仪器完好(经检测，性能正常、精度在要求范围内)符合安全生产要求； 单人、单工位，相邻工位互不干扰；应备的工卡量具、原材料必须齐全，还应配备足够的设备检修与材料供应人员；考核时现场应设立警戒线，专人值守，严禁无关人员出入。</w:t>
      </w:r>
    </w:p>
    <w:p w14:paraId="56F2B79E">
      <w:pPr>
        <w:autoSpaceDE w:val="0"/>
        <w:autoSpaceDN w:val="0"/>
        <w:spacing w:before="60" w:line="520" w:lineRule="atLeast"/>
        <w:ind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八、考点应在考前准备考核时需用的纸张及主考、监考、工作人员胸牌、签到册、 胶水、 锥子、 装订针线、 剪刀等工具。</w:t>
      </w:r>
    </w:p>
    <w:p w14:paraId="0DDF05CC">
      <w:pPr>
        <w:autoSpaceDE w:val="0"/>
        <w:autoSpaceDN w:val="0"/>
        <w:spacing w:before="60" w:line="520" w:lineRule="atLeast"/>
        <w:ind w:firstLine="2811" w:firstLineChars="1000"/>
        <w:rPr>
          <w:rFonts w:asciiTheme="minorEastAsia" w:hAnsiTheme="minorEastAsia"/>
          <w:b/>
          <w:sz w:val="28"/>
          <w:szCs w:val="24"/>
        </w:rPr>
      </w:pPr>
      <w:r>
        <w:rPr>
          <w:rFonts w:cs="宋体" w:asciiTheme="minorEastAsia" w:hAnsiTheme="minorEastAsia"/>
          <w:b/>
          <w:color w:val="000000"/>
          <w:sz w:val="28"/>
          <w:szCs w:val="24"/>
        </w:rPr>
        <w:t>职业技能等级认定智能化考试考场规则</w:t>
      </w:r>
    </w:p>
    <w:p w14:paraId="027930DF">
      <w:pPr>
        <w:autoSpaceDE w:val="0"/>
        <w:autoSpaceDN w:val="0"/>
        <w:spacing w:before="60" w:line="520" w:lineRule="atLeast"/>
        <w:ind w:firstLine="480" w:firstLineChars="200"/>
        <w:rPr>
          <w:rFonts w:asciiTheme="minorEastAsia" w:hAnsiTheme="minorEastAsia"/>
          <w:sz w:val="24"/>
          <w:szCs w:val="24"/>
        </w:rPr>
      </w:pPr>
      <w:r>
        <w:rPr>
          <w:rFonts w:cs="宋体" w:asciiTheme="minorEastAsia" w:hAnsiTheme="minorEastAsia"/>
          <w:color w:val="000000"/>
          <w:sz w:val="24"/>
          <w:szCs w:val="24"/>
        </w:rPr>
        <w:t>一、开考前 30 分钟，应考人员凭准考证和身份证经监考人员核对无误后进入考场，对号入座，入座后将本人身份证、准考证放在桌子左上角，以备查对。</w:t>
      </w:r>
    </w:p>
    <w:p w14:paraId="52732879">
      <w:pPr>
        <w:autoSpaceDE w:val="0"/>
        <w:autoSpaceDN w:val="0"/>
        <w:spacing w:before="20" w:line="540" w:lineRule="atLeast"/>
        <w:ind w:left="40" w:right="700" w:firstLine="660"/>
        <w:rPr>
          <w:rFonts w:asciiTheme="minorEastAsia" w:hAnsiTheme="minorEastAsia"/>
          <w:sz w:val="24"/>
          <w:szCs w:val="24"/>
        </w:rPr>
      </w:pPr>
      <w:r>
        <w:rPr>
          <w:rFonts w:cs="宋体" w:asciiTheme="minorEastAsia" w:hAnsiTheme="minorEastAsia"/>
          <w:color w:val="000000"/>
          <w:sz w:val="24"/>
          <w:szCs w:val="24"/>
        </w:rPr>
        <w:t>二、开考30分钟后，应考人员不得进入考场，考试全部结束后才准交卷出场，考生不得提前交卷、退场。</w:t>
      </w:r>
    </w:p>
    <w:p w14:paraId="650E52BC">
      <w:pPr>
        <w:autoSpaceDE w:val="0"/>
        <w:autoSpaceDN w:val="0"/>
        <w:spacing w:line="545" w:lineRule="atLeast"/>
        <w:ind w:left="20" w:right="720" w:firstLine="680"/>
        <w:rPr>
          <w:rFonts w:asciiTheme="minorEastAsia" w:hAnsiTheme="minorEastAsia"/>
          <w:sz w:val="24"/>
          <w:szCs w:val="24"/>
        </w:rPr>
      </w:pPr>
      <w:r>
        <w:rPr>
          <w:rFonts w:cs="宋体" w:asciiTheme="minorEastAsia" w:hAnsiTheme="minorEastAsia"/>
          <w:color w:val="000000"/>
          <w:sz w:val="24"/>
          <w:szCs w:val="24"/>
        </w:rPr>
        <w:t>三、应考人员要严格按照规定携带文具。进入考场不得携带任何书籍、报纸、稿纸，严禁将各种电子、通讯、存储或其他设备带入考场，不准在允许带进考场的文具或其他物品上写有公式或文字。已带入考场的，要按要求放在指定位置(电子设备要切断电源)。</w:t>
      </w:r>
    </w:p>
    <w:p w14:paraId="5091FF9F">
      <w:pPr>
        <w:autoSpaceDE w:val="0"/>
        <w:autoSpaceDN w:val="0"/>
        <w:spacing w:before="20" w:line="540" w:lineRule="atLeast"/>
        <w:ind w:left="60" w:right="700" w:firstLine="640"/>
        <w:rPr>
          <w:rFonts w:asciiTheme="minorEastAsia" w:hAnsiTheme="minorEastAsia"/>
          <w:sz w:val="24"/>
          <w:szCs w:val="24"/>
        </w:rPr>
      </w:pPr>
      <w:r>
        <w:rPr>
          <w:rFonts w:cs="宋体" w:asciiTheme="minorEastAsia" w:hAnsiTheme="minorEastAsia"/>
          <w:color w:val="000000"/>
          <w:sz w:val="24"/>
          <w:szCs w:val="24"/>
        </w:rPr>
        <w:t>四、应考人员应按考试系统要求或提示进行操作，不得擅自对计算机进行冷、热启动、关闭电源及其他于考试无关的操作。</w:t>
      </w:r>
    </w:p>
    <w:p w14:paraId="2758BDBF">
      <w:pPr>
        <w:autoSpaceDE w:val="0"/>
        <w:autoSpaceDN w:val="0"/>
        <w:spacing w:line="550" w:lineRule="atLeast"/>
        <w:ind w:left="40" w:right="740" w:firstLine="660"/>
        <w:rPr>
          <w:rFonts w:asciiTheme="minorEastAsia" w:hAnsiTheme="minorEastAsia"/>
          <w:sz w:val="24"/>
          <w:szCs w:val="24"/>
        </w:rPr>
      </w:pPr>
      <w:r>
        <w:rPr>
          <w:rFonts w:cs="宋体" w:asciiTheme="minorEastAsia" w:hAnsiTheme="minorEastAsia"/>
          <w:color w:val="000000"/>
          <w:sz w:val="24"/>
          <w:szCs w:val="24"/>
        </w:rPr>
        <w:t>五、应考人员在考场内须保持安静，不得要求监考人员解释试题，发生异常情况可举手询问。</w:t>
      </w:r>
    </w:p>
    <w:p w14:paraId="57BFD00B">
      <w:pPr>
        <w:autoSpaceDE w:val="0"/>
        <w:autoSpaceDN w:val="0"/>
        <w:spacing w:before="20" w:line="545" w:lineRule="atLeast"/>
        <w:ind w:left="40" w:right="740" w:firstLine="660"/>
        <w:rPr>
          <w:rFonts w:asciiTheme="minorEastAsia" w:hAnsiTheme="minorEastAsia"/>
          <w:sz w:val="24"/>
          <w:szCs w:val="24"/>
        </w:rPr>
      </w:pPr>
      <w:r>
        <w:rPr>
          <w:rFonts w:cs="宋体" w:asciiTheme="minorEastAsia" w:hAnsiTheme="minorEastAsia"/>
          <w:color w:val="000000"/>
          <w:sz w:val="24"/>
          <w:szCs w:val="24"/>
        </w:rPr>
        <w:t>六、应考人员应严格遵守考场纪律，考场内禁止吸烟，严禁大声喧哗；不准交头接耳，不得窥视他人试卷及其他答题资料，严禁抄袭；不准夹带资料、互换位置及冒名顶替。否则，按有关规定处理。应考人员交卷后应迅速离开考场，不得在考场附近逗留或谈论。</w:t>
      </w:r>
    </w:p>
    <w:p w14:paraId="5E8874D5">
      <w:pPr>
        <w:autoSpaceDE w:val="0"/>
        <w:autoSpaceDN w:val="0"/>
        <w:spacing w:before="20" w:line="570" w:lineRule="atLeast"/>
        <w:ind w:left="20" w:right="740" w:firstLine="680"/>
        <w:rPr>
          <w:rFonts w:asciiTheme="minorEastAsia" w:hAnsiTheme="minorEastAsia"/>
          <w:sz w:val="24"/>
          <w:szCs w:val="24"/>
        </w:rPr>
      </w:pPr>
      <w:r>
        <w:rPr>
          <w:rFonts w:cs="宋体" w:asciiTheme="minorEastAsia" w:hAnsiTheme="minorEastAsia"/>
          <w:color w:val="000000"/>
          <w:sz w:val="24"/>
          <w:szCs w:val="24"/>
        </w:rPr>
        <w:t>七、应考人员应服从监考人员安排，自觉接受监督和检查，对无理取闹及蓄意滋事者，按有关规定处理。</w:t>
      </w:r>
    </w:p>
    <w:p w14:paraId="2AF704DB">
      <w:pPr>
        <w:autoSpaceDE w:val="0"/>
        <w:autoSpaceDN w:val="0"/>
        <w:spacing w:line="560" w:lineRule="atLeast"/>
        <w:ind w:left="20" w:right="680" w:firstLine="680"/>
        <w:rPr>
          <w:rFonts w:asciiTheme="minorEastAsia" w:hAnsiTheme="minorEastAsia"/>
          <w:sz w:val="24"/>
          <w:szCs w:val="24"/>
        </w:rPr>
      </w:pPr>
      <w:r>
        <w:rPr>
          <w:rFonts w:cs="宋体" w:asciiTheme="minorEastAsia" w:hAnsiTheme="minorEastAsia"/>
          <w:color w:val="000000"/>
          <w:sz w:val="24"/>
          <w:szCs w:val="24"/>
        </w:rPr>
        <w:t>八、考试结束铃响，考生应立即停止答题，按照操作要求提交试卷。不得将相关考试信息以任何方式带出考场。</w:t>
      </w:r>
    </w:p>
    <w:p w14:paraId="02DCE08D">
      <w:pPr>
        <w:autoSpaceDE w:val="0"/>
        <w:autoSpaceDN w:val="0"/>
        <w:spacing w:before="1020" w:line="160" w:lineRule="atLeast"/>
        <w:ind w:firstLine="2640" w:firstLineChars="1100"/>
        <w:rPr>
          <w:rFonts w:asciiTheme="minorEastAsia" w:hAnsiTheme="minorEastAsia"/>
          <w:b/>
          <w:sz w:val="24"/>
          <w:szCs w:val="24"/>
        </w:rPr>
      </w:pPr>
      <w:r>
        <w:rPr>
          <w:rFonts w:asciiTheme="minorEastAsia" w:hAnsiTheme="minorEastAsia"/>
          <w:sz w:val="24"/>
          <w:szCs w:val="24"/>
        </w:rPr>
        <w:br w:type="page"/>
      </w:r>
      <w:r>
        <w:rPr>
          <w:rFonts w:cs="宋体" w:asciiTheme="minorEastAsia" w:hAnsiTheme="minorEastAsia"/>
          <w:b/>
          <w:color w:val="000000"/>
          <w:sz w:val="28"/>
          <w:szCs w:val="24"/>
        </w:rPr>
        <w:t>职业技能等级认定操作技能考场规则</w:t>
      </w:r>
    </w:p>
    <w:p w14:paraId="2749321D">
      <w:pPr>
        <w:autoSpaceDE w:val="0"/>
        <w:autoSpaceDN w:val="0"/>
        <w:spacing w:before="1020" w:line="480" w:lineRule="auto"/>
        <w:ind w:firstLine="480" w:firstLineChars="200"/>
        <w:rPr>
          <w:rFonts w:asciiTheme="minorEastAsia" w:hAnsiTheme="minorEastAsia"/>
          <w:sz w:val="24"/>
          <w:szCs w:val="24"/>
        </w:rPr>
      </w:pPr>
      <w:r>
        <w:rPr>
          <w:rFonts w:cs="宋体" w:asciiTheme="minorEastAsia" w:hAnsiTheme="minorEastAsia"/>
          <w:color w:val="000000"/>
          <w:sz w:val="24"/>
          <w:szCs w:val="24"/>
        </w:rPr>
        <w:t>一、每考场的考评员组成一个考评小组， 设考评组长1名。 考评人员人数与考核工位数之比为3：1，应根据工种特点，按《国家职业标准》规定确定。</w:t>
      </w:r>
    </w:p>
    <w:p w14:paraId="5B00B51B">
      <w:pPr>
        <w:autoSpaceDE w:val="0"/>
        <w:autoSpaceDN w:val="0"/>
        <w:spacing w:before="20" w:line="540" w:lineRule="atLeast"/>
        <w:ind w:right="160" w:firstLine="480" w:firstLineChars="200"/>
        <w:rPr>
          <w:rFonts w:asciiTheme="minorEastAsia" w:hAnsiTheme="minorEastAsia"/>
          <w:sz w:val="24"/>
          <w:szCs w:val="24"/>
        </w:rPr>
      </w:pPr>
      <w:r>
        <w:rPr>
          <w:rFonts w:cs="宋体" w:asciiTheme="minorEastAsia" w:hAnsiTheme="minorEastAsia"/>
          <w:color w:val="000000"/>
          <w:sz w:val="24"/>
          <w:szCs w:val="24"/>
        </w:rPr>
        <w:t>二、开考前 20分钟，考评组长到考务办公室领取试题，然后到考场检查分发备料、察看设备，研究评分标准。</w:t>
      </w:r>
    </w:p>
    <w:p w14:paraId="2940A6D1">
      <w:pPr>
        <w:autoSpaceDE w:val="0"/>
        <w:autoSpaceDN w:val="0"/>
        <w:spacing w:before="20" w:line="540" w:lineRule="atLeast"/>
        <w:ind w:right="16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三、开考前 10 分钟，应考人员携带准考证，携带规定的工卡量具、原材料及身份证件进入考场。考评人员检录并查验应考人员证件及携带的工卡量具、原材料与本场考核是否相关，检查无误后，抽签确定工位。</w:t>
      </w:r>
      <w:r>
        <w:rPr>
          <w:rFonts w:hint="eastAsia" w:cs="宋体" w:asciiTheme="minorEastAsia" w:hAnsiTheme="minorEastAsia"/>
          <w:color w:val="000000"/>
          <w:sz w:val="24"/>
          <w:szCs w:val="24"/>
        </w:rPr>
        <w:t>考核开始，应考人员按工作人员的安排，凭身份证、准考证入场，对号进入操作工位。入场时，按《操作技能考核准备通知单》的规定携带工具、刃具等操作用具，并按职业和劳动保护要求着装。迟到</w:t>
      </w:r>
      <w:r>
        <w:rPr>
          <w:rFonts w:cs="宋体" w:asciiTheme="minorEastAsia" w:hAnsiTheme="minorEastAsia"/>
          <w:color w:val="000000"/>
          <w:sz w:val="24"/>
          <w:szCs w:val="24"/>
        </w:rPr>
        <w:t xml:space="preserve"> 30 分钟以上者不准进入考场，取消考核资格。应考人员对号进入工位，按要求摆放、检查工卡量具和原材料，熟悉设备； 考评员拆封分发试卷。开考时间到后， 由考评人员统一发号指令开始操作，并现场打分，取三人的平均分作为最后得分。</w:t>
      </w:r>
    </w:p>
    <w:p w14:paraId="67F11D15">
      <w:pPr>
        <w:autoSpaceDE w:val="0"/>
        <w:autoSpaceDN w:val="0"/>
        <w:spacing w:before="20" w:line="540" w:lineRule="atLeast"/>
        <w:ind w:right="22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四、</w:t>
      </w:r>
      <w:r>
        <w:rPr>
          <w:rFonts w:hint="eastAsia" w:cs="宋体" w:asciiTheme="minorEastAsia" w:hAnsiTheme="minorEastAsia"/>
          <w:color w:val="000000"/>
          <w:sz w:val="24"/>
          <w:szCs w:val="24"/>
        </w:rPr>
        <w:t>入场后应考人员要认真检查操作工位，若发现有不符合规定要求的，应立即向考评员报告，以便及时处理。</w:t>
      </w:r>
      <w:r>
        <w:rPr>
          <w:rFonts w:cs="宋体" w:asciiTheme="minorEastAsia" w:hAnsiTheme="minorEastAsia"/>
          <w:color w:val="000000"/>
          <w:sz w:val="24"/>
          <w:szCs w:val="24"/>
        </w:rPr>
        <w:t>应考人员根据本工种的安全文明生产要求和操作规程独立完成作业。不得随意串岗、换岗和借用工卡量具、原材料， 不准互相串通和替代。</w:t>
      </w:r>
    </w:p>
    <w:p w14:paraId="12B634BC">
      <w:pPr>
        <w:autoSpaceDE w:val="0"/>
        <w:autoSpaceDN w:val="0"/>
        <w:spacing w:before="20" w:line="540" w:lineRule="atLeast"/>
        <w:ind w:right="220" w:firstLine="480" w:firstLineChars="200"/>
        <w:rPr>
          <w:rFonts w:asciiTheme="minorEastAsia" w:hAnsiTheme="minorEastAsia"/>
          <w:sz w:val="24"/>
          <w:szCs w:val="24"/>
        </w:rPr>
      </w:pPr>
      <w:r>
        <w:rPr>
          <w:rFonts w:hint="eastAsia" w:asciiTheme="minorEastAsia" w:hAnsiTheme="minorEastAsia"/>
          <w:sz w:val="24"/>
          <w:szCs w:val="24"/>
        </w:rPr>
        <w:t>五、应考人员要爱护考场公物，正确使用仪器、设备，注意安全，严格按操作规程作业。考核过程中不得离开考场。因违章操作损坏设备者应适当赔偿。</w:t>
      </w:r>
    </w:p>
    <w:p w14:paraId="77372028">
      <w:pPr>
        <w:autoSpaceDE w:val="0"/>
        <w:autoSpaceDN w:val="0"/>
        <w:spacing w:before="20" w:line="540" w:lineRule="atLeast"/>
        <w:ind w:right="240" w:firstLine="480" w:firstLineChars="200"/>
        <w:rPr>
          <w:rFonts w:asciiTheme="minorEastAsia" w:hAnsiTheme="minorEastAsia"/>
          <w:sz w:val="24"/>
          <w:szCs w:val="24"/>
        </w:rPr>
      </w:pPr>
      <w:r>
        <w:rPr>
          <w:rFonts w:cs="宋体" w:asciiTheme="minorEastAsia" w:hAnsiTheme="minorEastAsia"/>
          <w:color w:val="000000"/>
          <w:sz w:val="24"/>
          <w:szCs w:val="24"/>
        </w:rPr>
        <w:t>六、考评人员、监考人员要对所负责的工位认真监督，不得对应考人员进行指点或评论。因设备和考场问题延误时间，考评人员应当立即报告给督导人员。</w:t>
      </w:r>
    </w:p>
    <w:p w14:paraId="6C75DDDB">
      <w:pPr>
        <w:autoSpaceDE w:val="0"/>
        <w:autoSpaceDN w:val="0"/>
        <w:spacing w:before="40" w:line="540" w:lineRule="atLeast"/>
        <w:ind w:right="3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七、应考人员应保持考场安静，维持良好的考核秩序。考核时间结束后，立即停止操作</w:t>
      </w:r>
      <w:r>
        <w:rPr>
          <w:rFonts w:hint="eastAsia" w:cs="宋体" w:asciiTheme="minorEastAsia" w:hAnsiTheme="minorEastAsia"/>
          <w:color w:val="000000"/>
          <w:sz w:val="24"/>
          <w:szCs w:val="24"/>
        </w:rPr>
        <w:t>并整理操作环境，清点工具、材料等，经考评员验收同意后方可离开考场。</w:t>
      </w:r>
      <w:r>
        <w:rPr>
          <w:rFonts w:cs="宋体" w:asciiTheme="minorEastAsia" w:hAnsiTheme="minorEastAsia"/>
          <w:color w:val="000000"/>
          <w:sz w:val="24"/>
          <w:szCs w:val="24"/>
        </w:rPr>
        <w:t>无视停止口令继续操作者成绩作废。做完工件交由考评、监考人员封存，不得在试件上留任何标记。</w:t>
      </w:r>
    </w:p>
    <w:p w14:paraId="2701E264">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八、.对违反考场规则、考核纪律人员，视其情节，按《考生违纪处理规定》给予处理。</w:t>
      </w:r>
    </w:p>
    <w:p w14:paraId="4B8FEBFF">
      <w:pPr>
        <w:autoSpaceDE w:val="0"/>
        <w:autoSpaceDN w:val="0"/>
        <w:spacing w:before="40" w:line="540" w:lineRule="atLeast"/>
        <w:ind w:right="300" w:firstLine="3092" w:firstLineChars="1100"/>
        <w:rPr>
          <w:rFonts w:asciiTheme="minorEastAsia" w:hAnsiTheme="minorEastAsia"/>
          <w:b/>
          <w:sz w:val="28"/>
          <w:szCs w:val="24"/>
        </w:rPr>
      </w:pPr>
      <w:r>
        <w:rPr>
          <w:rFonts w:hint="eastAsia" w:asciiTheme="minorEastAsia" w:hAnsiTheme="minorEastAsia"/>
          <w:b/>
          <w:sz w:val="28"/>
          <w:szCs w:val="24"/>
        </w:rPr>
        <w:t>职业技能等级认定违纪处理规定</w:t>
      </w:r>
      <w:r>
        <w:rPr>
          <w:rFonts w:asciiTheme="minorEastAsia" w:hAnsiTheme="minorEastAsia"/>
          <w:b/>
          <w:sz w:val="28"/>
          <w:szCs w:val="24"/>
        </w:rPr>
        <w:t xml:space="preserve"> </w:t>
      </w:r>
    </w:p>
    <w:p w14:paraId="043D20FE">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 职业技能等级认定考试、考核违纪处理分为： </w:t>
      </w:r>
    </w:p>
    <w:p w14:paraId="217AD738">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1.1警告； </w:t>
      </w:r>
    </w:p>
    <w:p w14:paraId="18BFD4FF">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1.2终止考试、考核； </w:t>
      </w:r>
    </w:p>
    <w:p w14:paraId="19E07770">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1.3通报批评； </w:t>
      </w:r>
    </w:p>
    <w:p w14:paraId="56CD2D76">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1.4取消单项考试、考核成绩； </w:t>
      </w:r>
    </w:p>
    <w:p w14:paraId="45FF3229">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1.5取消全面考试、考核成绩； </w:t>
      </w:r>
    </w:p>
    <w:p w14:paraId="7520A226">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1.6取消职业资格考评员、监考员资格； </w:t>
      </w:r>
    </w:p>
    <w:p w14:paraId="26524C5A">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1.7考场或考点考试、考核成绩无效； </w:t>
      </w:r>
    </w:p>
    <w:p w14:paraId="23839D7C">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1.8取消考点承办职业资格评价考试、考核的资格。 </w:t>
      </w:r>
    </w:p>
    <w:p w14:paraId="115299C5">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2.对考生违纪的处理规定： </w:t>
      </w:r>
    </w:p>
    <w:p w14:paraId="393A279B">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2.1考生有下列情形之一的，给予警告 </w:t>
      </w:r>
    </w:p>
    <w:p w14:paraId="615F8017">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2.2携带规定以外的物品进入考场； </w:t>
      </w:r>
    </w:p>
    <w:p w14:paraId="10468A29">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2.3开考信号发出前答题（操作）； </w:t>
      </w:r>
    </w:p>
    <w:p w14:paraId="4E9C2ACC">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2.4在考场内吸烟、喧哗； </w:t>
      </w:r>
    </w:p>
    <w:p w14:paraId="087FDB0A">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2.5其他影响考场秩序的行为。 </w:t>
      </w:r>
    </w:p>
    <w:p w14:paraId="3F00392F">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2.6有前款所列情形之一，经劝阻和警告两次以上仍不改正者，给予终止考试的处理。 </w:t>
      </w:r>
    </w:p>
    <w:p w14:paraId="6B1B28B4">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3.考生有下列情形之一的，取消考试成绩； </w:t>
      </w:r>
    </w:p>
    <w:p w14:paraId="507F865A">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3.1考试中交头接耳，互打暗号、手势； </w:t>
      </w:r>
    </w:p>
    <w:p w14:paraId="2CA32481">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3.2夹带与考试有关的资料（物品）； </w:t>
      </w:r>
    </w:p>
    <w:p w14:paraId="5825BA18">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3.3接传答案或交换答卷（试件）； </w:t>
      </w:r>
    </w:p>
    <w:p w14:paraId="499A07E5">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3.4抄袭他人答卷或有意将自己的答卷让他人抄袭；</w:t>
      </w:r>
    </w:p>
    <w:p w14:paraId="5FD911C6">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3.5考试期间销毁试卷（试件）、答题卡或将试卷（试件） 答题卡带出考场； </w:t>
      </w:r>
    </w:p>
    <w:p w14:paraId="208A541F">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3.6考试终了信号发出后继续答卷（操作），经两次警告不停止的；</w:t>
      </w:r>
    </w:p>
    <w:p w14:paraId="20FB0EC7">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3.7有其他舞弊行为。 </w:t>
      </w:r>
    </w:p>
    <w:p w14:paraId="3BB339E5">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4.考生有下列情形之一的，取消当年考试资格： </w:t>
      </w:r>
    </w:p>
    <w:p w14:paraId="34BCCF75">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4.1故意扰乱考场及考试有关工作场所秩序； </w:t>
      </w:r>
    </w:p>
    <w:p w14:paraId="4163C810">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4.2拒绝、妨碍考评员、考试工作人员执行公务； </w:t>
      </w:r>
    </w:p>
    <w:p w14:paraId="1B510634">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4.3威胁考评员、考试工作人员安全或公然侮辱、诽谤、诬陷考评员、考试工作人员； </w:t>
      </w:r>
    </w:p>
    <w:p w14:paraId="355BB2CC">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4.4由他人代替考试，偷换答卷，涂改成绩； </w:t>
      </w:r>
    </w:p>
    <w:p w14:paraId="6E0858CB">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4.5被两次取消单项考试成绩； </w:t>
      </w:r>
    </w:p>
    <w:p w14:paraId="6B7F8344">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4.6有其他严重舞弊行为。 </w:t>
      </w:r>
    </w:p>
    <w:p w14:paraId="1E9E351B">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5.对考评员、监考员、考试工作人员违纪的处理规定： </w:t>
      </w:r>
    </w:p>
    <w:p w14:paraId="5816E84D">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w:t>
      </w:r>
      <w:r>
        <w:rPr>
          <w:rFonts w:asciiTheme="minorEastAsia" w:hAnsiTheme="minorEastAsia"/>
          <w:sz w:val="24"/>
          <w:szCs w:val="24"/>
        </w:rPr>
        <w:t>1考评员、监考员人员有下列情形之一的，给予通报批评：</w:t>
      </w:r>
    </w:p>
    <w:p w14:paraId="33D14146">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5.2</w:t>
      </w:r>
      <w:r>
        <w:rPr>
          <w:rFonts w:asciiTheme="minorEastAsia" w:hAnsiTheme="minorEastAsia"/>
          <w:sz w:val="24"/>
          <w:szCs w:val="24"/>
        </w:rPr>
        <w:t xml:space="preserve">监考中不履行职责，吸烟、看书、打瞌睡、聊天、擅自离开岗位，经指出仍不改正； </w:t>
      </w:r>
    </w:p>
    <w:p w14:paraId="13A72720">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5.3</w:t>
      </w:r>
      <w:r>
        <w:rPr>
          <w:rFonts w:asciiTheme="minorEastAsia" w:hAnsiTheme="minorEastAsia"/>
          <w:sz w:val="24"/>
          <w:szCs w:val="24"/>
        </w:rPr>
        <w:t>在阅卷（件）评分时错评、漏评、差错较多，经指出仍不改正；</w:t>
      </w:r>
    </w:p>
    <w:p w14:paraId="11F3D515">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5.4</w:t>
      </w:r>
      <w:r>
        <w:rPr>
          <w:rFonts w:asciiTheme="minorEastAsia" w:hAnsiTheme="minorEastAsia"/>
          <w:sz w:val="24"/>
          <w:szCs w:val="24"/>
        </w:rPr>
        <w:t xml:space="preserve">泄露阅卷（件）评分工作情况； </w:t>
      </w:r>
    </w:p>
    <w:p w14:paraId="4B2C9CCC">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5.5</w:t>
      </w:r>
      <w:r>
        <w:rPr>
          <w:rFonts w:asciiTheme="minorEastAsia" w:hAnsiTheme="minorEastAsia"/>
          <w:sz w:val="24"/>
          <w:szCs w:val="24"/>
        </w:rPr>
        <w:t xml:space="preserve">不按规定销毁或私留试卷（试件）； </w:t>
      </w:r>
    </w:p>
    <w:p w14:paraId="4E322E44">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5.6</w:t>
      </w:r>
      <w:r>
        <w:rPr>
          <w:rFonts w:asciiTheme="minorEastAsia" w:hAnsiTheme="minorEastAsia"/>
          <w:sz w:val="24"/>
          <w:szCs w:val="24"/>
        </w:rPr>
        <w:t xml:space="preserve">在其他考务工作中出现较严重差错。 </w:t>
      </w:r>
    </w:p>
    <w:p w14:paraId="48F58F6A">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 xml:space="preserve">.考评员、考试工作人员有下列情形之一的，取消考评员资格、考试工作人员资格； </w:t>
      </w:r>
    </w:p>
    <w:p w14:paraId="337FE979">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.1利用监考或从事考试、考评工作之便，为考生舞弊提供条件；</w:t>
      </w:r>
    </w:p>
    <w:p w14:paraId="5BD4FEFB">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 xml:space="preserve">.2考试、考评期间，擅自将试卷（件）带出传出考场外； </w:t>
      </w:r>
    </w:p>
    <w:p w14:paraId="6EED87F9">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 xml:space="preserve">.3擅自变动考生答卷或操作时间； </w:t>
      </w:r>
    </w:p>
    <w:p w14:paraId="54F2281B">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.4提示或暗示考生答卷或指导操作。</w:t>
      </w:r>
    </w:p>
    <w:p w14:paraId="00863B00">
      <w:pPr>
        <w:autoSpaceDE w:val="0"/>
        <w:autoSpaceDN w:val="0"/>
        <w:spacing w:before="40" w:line="540" w:lineRule="atLeast"/>
        <w:ind w:right="300" w:firstLine="3373" w:firstLineChars="1200"/>
        <w:rPr>
          <w:rFonts w:asciiTheme="minorEastAsia" w:hAnsiTheme="minorEastAsia"/>
          <w:b/>
          <w:sz w:val="28"/>
          <w:szCs w:val="24"/>
        </w:rPr>
      </w:pPr>
      <w:r>
        <w:rPr>
          <w:rFonts w:cs="宋体" w:asciiTheme="minorEastAsia" w:hAnsiTheme="minorEastAsia"/>
          <w:b/>
          <w:color w:val="000000"/>
          <w:sz w:val="28"/>
          <w:szCs w:val="24"/>
        </w:rPr>
        <w:t>职业技能等级认定考生须知</w:t>
      </w:r>
    </w:p>
    <w:p w14:paraId="1F9BCB1E">
      <w:pPr>
        <w:autoSpaceDE w:val="0"/>
        <w:autoSpaceDN w:val="0"/>
        <w:spacing w:before="460" w:line="300" w:lineRule="atLeast"/>
        <w:ind w:left="640"/>
        <w:rPr>
          <w:rFonts w:asciiTheme="minorEastAsia" w:hAnsiTheme="minorEastAsia"/>
          <w:sz w:val="24"/>
          <w:szCs w:val="24"/>
        </w:rPr>
      </w:pPr>
      <w:r>
        <w:rPr>
          <w:rFonts w:cs="宋体" w:asciiTheme="minorEastAsia" w:hAnsiTheme="minorEastAsia"/>
          <w:color w:val="000000"/>
          <w:sz w:val="24"/>
          <w:szCs w:val="24"/>
        </w:rPr>
        <w:t>一、 考试注意事项：</w:t>
      </w:r>
    </w:p>
    <w:p w14:paraId="68C31EC5">
      <w:pPr>
        <w:autoSpaceDE w:val="0"/>
        <w:autoSpaceDN w:val="0"/>
        <w:spacing w:line="530" w:lineRule="atLeast"/>
        <w:ind w:right="460" w:firstLine="640"/>
        <w:rPr>
          <w:rFonts w:asciiTheme="minorEastAsia" w:hAnsiTheme="minorEastAsia"/>
          <w:sz w:val="24"/>
          <w:szCs w:val="24"/>
        </w:rPr>
      </w:pPr>
      <w:r>
        <w:rPr>
          <w:rFonts w:cs="宋体" w:asciiTheme="minorEastAsia" w:hAnsiTheme="minorEastAsia"/>
          <w:color w:val="000000"/>
          <w:sz w:val="24"/>
          <w:szCs w:val="24"/>
        </w:rPr>
        <w:t>1、登录考试机后，根据要求输入个人姓名、身份证号、准考证号、手机号等信息，如有问题请及时告知监考老师。</w:t>
      </w:r>
    </w:p>
    <w:p w14:paraId="753E2970">
      <w:pPr>
        <w:autoSpaceDE w:val="0"/>
        <w:autoSpaceDN w:val="0"/>
        <w:spacing w:before="220" w:line="300" w:lineRule="atLeast"/>
        <w:ind w:left="640"/>
        <w:rPr>
          <w:rFonts w:asciiTheme="minorEastAsia" w:hAnsiTheme="minorEastAsia"/>
          <w:sz w:val="24"/>
          <w:szCs w:val="24"/>
        </w:rPr>
      </w:pPr>
      <w:r>
        <w:rPr>
          <w:rFonts w:cs="宋体" w:asciiTheme="minorEastAsia" w:hAnsiTheme="minorEastAsia"/>
          <w:color w:val="000000"/>
          <w:sz w:val="24"/>
          <w:szCs w:val="24"/>
        </w:rPr>
        <w:t>2、注意区别单选题、多选题。</w:t>
      </w:r>
    </w:p>
    <w:p w14:paraId="1DC86CF8">
      <w:pPr>
        <w:autoSpaceDE w:val="0"/>
        <w:autoSpaceDN w:val="0"/>
        <w:spacing w:before="20" w:line="530" w:lineRule="atLeast"/>
        <w:ind w:left="40" w:right="440" w:firstLine="600"/>
        <w:rPr>
          <w:rFonts w:asciiTheme="minorEastAsia" w:hAnsiTheme="minorEastAsia"/>
          <w:sz w:val="24"/>
          <w:szCs w:val="24"/>
        </w:rPr>
      </w:pPr>
      <w:r>
        <w:rPr>
          <w:rFonts w:cs="宋体" w:asciiTheme="minorEastAsia" w:hAnsiTheme="minorEastAsia"/>
          <w:color w:val="000000"/>
          <w:sz w:val="24"/>
          <w:szCs w:val="24"/>
        </w:rPr>
        <w:t>3、考试科目的结束时间以考生实际报考的科目结束时间为准，请考生注意查看考试机提示的剩余考试时间。</w:t>
      </w:r>
    </w:p>
    <w:p w14:paraId="34B1F0D9">
      <w:pPr>
        <w:autoSpaceDE w:val="0"/>
        <w:autoSpaceDN w:val="0"/>
        <w:spacing w:before="240" w:line="300" w:lineRule="atLeast"/>
        <w:ind w:left="640"/>
        <w:rPr>
          <w:rFonts w:asciiTheme="minorEastAsia" w:hAnsiTheme="minorEastAsia"/>
          <w:sz w:val="24"/>
          <w:szCs w:val="24"/>
        </w:rPr>
      </w:pPr>
      <w:r>
        <w:rPr>
          <w:rFonts w:cs="宋体" w:asciiTheme="minorEastAsia" w:hAnsiTheme="minorEastAsia"/>
          <w:color w:val="000000"/>
          <w:sz w:val="24"/>
          <w:szCs w:val="24"/>
        </w:rPr>
        <w:t>4、务必在完成所有试题后方可点击“结束考试”按扭。</w:t>
      </w:r>
    </w:p>
    <w:p w14:paraId="595FB3FA">
      <w:pPr>
        <w:autoSpaceDE w:val="0"/>
        <w:autoSpaceDN w:val="0"/>
        <w:spacing w:line="530" w:lineRule="atLeast"/>
        <w:ind w:left="40" w:right="440" w:firstLine="600"/>
        <w:rPr>
          <w:rFonts w:asciiTheme="minorEastAsia" w:hAnsiTheme="minorEastAsia"/>
          <w:sz w:val="24"/>
          <w:szCs w:val="24"/>
        </w:rPr>
      </w:pPr>
      <w:r>
        <w:rPr>
          <w:rFonts w:cs="宋体" w:asciiTheme="minorEastAsia" w:hAnsiTheme="minorEastAsia"/>
          <w:color w:val="000000"/>
          <w:sz w:val="24"/>
          <w:szCs w:val="24"/>
        </w:rPr>
        <w:t>5、答题过程中，若发现任何异常现象，请及时告知监考老师，安静坐在座位上，等候继续考试。</w:t>
      </w:r>
    </w:p>
    <w:p w14:paraId="03C86A17">
      <w:pPr>
        <w:autoSpaceDE w:val="0"/>
        <w:autoSpaceDN w:val="0"/>
        <w:spacing w:before="260" w:line="480" w:lineRule="auto"/>
        <w:ind w:left="640"/>
        <w:rPr>
          <w:rFonts w:asciiTheme="minorEastAsia" w:hAnsiTheme="minorEastAsia"/>
          <w:sz w:val="24"/>
          <w:szCs w:val="24"/>
        </w:rPr>
      </w:pPr>
      <w:r>
        <w:rPr>
          <w:rFonts w:cs="宋体" w:asciiTheme="minorEastAsia" w:hAnsiTheme="minorEastAsia"/>
          <w:color w:val="000000"/>
          <w:sz w:val="24"/>
          <w:szCs w:val="24"/>
        </w:rPr>
        <w:t>三、考场纪律</w:t>
      </w:r>
    </w:p>
    <w:p w14:paraId="630F58E6">
      <w:pPr>
        <w:autoSpaceDE w:val="0"/>
        <w:autoSpaceDN w:val="0"/>
        <w:spacing w:line="480" w:lineRule="auto"/>
        <w:ind w:left="20" w:right="600" w:firstLine="620"/>
        <w:rPr>
          <w:rFonts w:asciiTheme="minorEastAsia" w:hAnsiTheme="minorEastAsia"/>
          <w:sz w:val="24"/>
          <w:szCs w:val="24"/>
        </w:rPr>
      </w:pPr>
      <w:r>
        <w:rPr>
          <w:rFonts w:cs="宋体" w:asciiTheme="minorEastAsia" w:hAnsiTheme="minorEastAsia"/>
          <w:color w:val="000000"/>
          <w:sz w:val="24"/>
          <w:szCs w:val="24"/>
        </w:rPr>
        <w:t>1、考生进入考场时，不得携带任何与考试可能有关的物品。如：纸张、书籍、计算器、移动电话或其他存储设备等， 如有携带按照作弊处理。</w:t>
      </w:r>
    </w:p>
    <w:p w14:paraId="5B8F1588">
      <w:pPr>
        <w:autoSpaceDE w:val="0"/>
        <w:autoSpaceDN w:val="0"/>
        <w:spacing w:before="20" w:line="480" w:lineRule="auto"/>
        <w:ind w:right="480" w:firstLine="640"/>
        <w:rPr>
          <w:rFonts w:asciiTheme="minorEastAsia" w:hAnsiTheme="minorEastAsia"/>
          <w:sz w:val="24"/>
          <w:szCs w:val="24"/>
        </w:rPr>
      </w:pPr>
      <w:r>
        <w:rPr>
          <w:rFonts w:cs="宋体" w:asciiTheme="minorEastAsia" w:hAnsiTheme="minorEastAsia"/>
          <w:color w:val="000000"/>
          <w:sz w:val="24"/>
          <w:szCs w:val="24"/>
        </w:rPr>
        <w:t>2、考生在考前凭准考证进入考场，对号入座，并将自己的准考证、身份证或其他有效证件放在考试机前以备查对。</w:t>
      </w:r>
    </w:p>
    <w:p w14:paraId="4D48910F">
      <w:pPr>
        <w:autoSpaceDE w:val="0"/>
        <w:autoSpaceDN w:val="0"/>
        <w:spacing w:before="20" w:line="480" w:lineRule="auto"/>
        <w:ind w:left="20" w:right="480" w:firstLine="620"/>
        <w:rPr>
          <w:rFonts w:asciiTheme="minorEastAsia" w:hAnsiTheme="minorEastAsia"/>
          <w:sz w:val="24"/>
          <w:szCs w:val="24"/>
        </w:rPr>
      </w:pPr>
      <w:r>
        <w:rPr>
          <w:rFonts w:cs="宋体" w:asciiTheme="minorEastAsia" w:hAnsiTheme="minorEastAsia"/>
          <w:color w:val="000000"/>
          <w:sz w:val="24"/>
          <w:szCs w:val="24"/>
        </w:rPr>
        <w:t>3、考生要自觉维护考场秩序，保持安静。不准吸烟，不准喧哗，不准交头接耳、左顾右盼，不准打手势做暗号，不准夹带、偷看，不准传纸条，不准蓄意破坏考试机器，不得进行与考试无关的操作。遇到问题可举手向监考老师询问，但涉及试卷内容的除外。</w:t>
      </w:r>
    </w:p>
    <w:p w14:paraId="28A0F274">
      <w:pPr>
        <w:autoSpaceDE w:val="0"/>
        <w:autoSpaceDN w:val="0"/>
        <w:spacing w:line="480" w:lineRule="auto"/>
        <w:ind w:left="2550" w:leftChars="300" w:right="540" w:hanging="1920" w:hangingChars="800"/>
        <w:rPr>
          <w:rFonts w:cs="宋体" w:asciiTheme="minorEastAsia" w:hAnsiTheme="minorEastAsia"/>
          <w:color w:val="000000"/>
          <w:sz w:val="24"/>
          <w:szCs w:val="24"/>
        </w:rPr>
      </w:pPr>
      <w:r>
        <w:rPr>
          <w:rFonts w:cs="宋体" w:asciiTheme="minorEastAsia" w:hAnsiTheme="minorEastAsia"/>
          <w:color w:val="000000"/>
          <w:sz w:val="24"/>
          <w:szCs w:val="24"/>
        </w:rPr>
        <w:t>4、考试途中不得离开考场，考试结束后应立即离开考场，不得在考场附近逗留、 喧哗。</w:t>
      </w:r>
    </w:p>
    <w:p w14:paraId="6C931E6B">
      <w:pPr>
        <w:autoSpaceDE w:val="0"/>
        <w:autoSpaceDN w:val="0"/>
        <w:spacing w:line="360" w:lineRule="auto"/>
        <w:ind w:left="2610" w:leftChars="100" w:right="540" w:hanging="2400" w:hangingChars="1000"/>
        <w:rPr>
          <w:rFonts w:cs="宋体" w:asciiTheme="minorEastAsia" w:hAnsiTheme="minorEastAsia"/>
          <w:color w:val="000000"/>
          <w:sz w:val="24"/>
          <w:szCs w:val="24"/>
        </w:rPr>
      </w:pPr>
    </w:p>
    <w:p w14:paraId="386CB49C">
      <w:pPr>
        <w:autoSpaceDE w:val="0"/>
        <w:autoSpaceDN w:val="0"/>
        <w:spacing w:line="360" w:lineRule="auto"/>
        <w:ind w:left="2310" w:leftChars="1100" w:right="540" w:firstLine="562" w:firstLineChars="200"/>
        <w:rPr>
          <w:rFonts w:asciiTheme="minorEastAsia" w:hAnsiTheme="minorEastAsia"/>
          <w:b/>
          <w:sz w:val="28"/>
          <w:szCs w:val="24"/>
        </w:rPr>
      </w:pPr>
      <w:r>
        <w:rPr>
          <w:rFonts w:cs="宋体" w:asciiTheme="minorEastAsia" w:hAnsiTheme="minorEastAsia"/>
          <w:b/>
          <w:color w:val="000000"/>
          <w:sz w:val="28"/>
          <w:szCs w:val="24"/>
        </w:rPr>
        <w:t>监考、考评人员工作流程</w:t>
      </w:r>
    </w:p>
    <w:p w14:paraId="45B29867">
      <w:pPr>
        <w:autoSpaceDE w:val="0"/>
        <w:autoSpaceDN w:val="0"/>
        <w:spacing w:line="360" w:lineRule="auto"/>
        <w:ind w:right="540"/>
        <w:rPr>
          <w:rFonts w:asciiTheme="minorEastAsia" w:hAnsiTheme="minorEastAsia"/>
          <w:sz w:val="24"/>
          <w:szCs w:val="24"/>
        </w:rPr>
      </w:pPr>
      <w:r>
        <w:rPr>
          <w:rFonts w:cs="宋体" w:asciiTheme="minorEastAsia" w:hAnsiTheme="minorEastAsia"/>
          <w:color w:val="000000"/>
          <w:sz w:val="24"/>
          <w:szCs w:val="24"/>
        </w:rPr>
        <w:t>一、考试时间及人员安排</w:t>
      </w:r>
    </w:p>
    <w:p w14:paraId="085232C6">
      <w:pPr>
        <w:autoSpaceDE w:val="0"/>
        <w:autoSpaceDN w:val="0"/>
        <w:spacing w:before="240" w:line="360" w:lineRule="auto"/>
        <w:ind w:firstLine="240" w:firstLineChars="100"/>
        <w:rPr>
          <w:rFonts w:asciiTheme="minorEastAsia" w:hAnsiTheme="minorEastAsia"/>
          <w:sz w:val="24"/>
          <w:szCs w:val="24"/>
        </w:rPr>
      </w:pPr>
      <w:r>
        <w:rPr>
          <w:rFonts w:cs="宋体" w:asciiTheme="minorEastAsia" w:hAnsiTheme="minorEastAsia"/>
          <w:color w:val="000000"/>
          <w:sz w:val="24"/>
          <w:szCs w:val="24"/>
        </w:rPr>
        <w:t xml:space="preserve">1、 理论(机考) 考核时间: </w:t>
      </w:r>
      <w:r>
        <w:rPr>
          <w:rFonts w:hint="eastAsia" w:cs="宋体" w:asciiTheme="minorEastAsia" w:hAnsiTheme="minorEastAsia"/>
          <w:color w:val="000000"/>
          <w:sz w:val="24"/>
          <w:szCs w:val="24"/>
        </w:rPr>
        <w:t>2024年</w:t>
      </w:r>
      <w:r>
        <w:rPr>
          <w:rFonts w:hint="eastAsia" w:cs="宋体" w:asciiTheme="minorEastAsia" w:hAnsiTheme="minorEastAsia"/>
          <w:color w:val="000000"/>
          <w:sz w:val="24"/>
          <w:szCs w:val="24"/>
          <w:lang w:val="en-US" w:eastAsia="zh-CN"/>
        </w:rPr>
        <w:t>12</w:t>
      </w:r>
      <w:r>
        <w:rPr>
          <w:rFonts w:hint="eastAsia" w:cs="宋体" w:asciiTheme="minorEastAsia" w:hAnsiTheme="minorEastAsia"/>
          <w:color w:val="000000"/>
          <w:sz w:val="24"/>
          <w:szCs w:val="24"/>
        </w:rPr>
        <w:t>月</w:t>
      </w:r>
      <w:r>
        <w:rPr>
          <w:rFonts w:hint="eastAsia" w:cs="宋体" w:asciiTheme="minorEastAsia" w:hAnsiTheme="minorEastAsia"/>
          <w:color w:val="000000"/>
          <w:sz w:val="24"/>
          <w:szCs w:val="24"/>
          <w:lang w:val="en-US" w:eastAsia="zh-CN"/>
        </w:rPr>
        <w:t>25</w:t>
      </w:r>
      <w:r>
        <w:rPr>
          <w:rFonts w:hint="eastAsia" w:cs="宋体" w:asciiTheme="minorEastAsia" w:hAnsiTheme="minorEastAsia"/>
          <w:color w:val="000000"/>
          <w:sz w:val="24"/>
          <w:szCs w:val="24"/>
        </w:rPr>
        <w:t xml:space="preserve">日  </w:t>
      </w:r>
      <w:r>
        <w:rPr>
          <w:rFonts w:cs="宋体" w:asciiTheme="minorEastAsia" w:hAnsiTheme="minorEastAsia"/>
          <w:color w:val="000000"/>
          <w:sz w:val="24"/>
          <w:szCs w:val="24"/>
        </w:rPr>
        <w:t>08:30-1</w:t>
      </w:r>
      <w:r>
        <w:rPr>
          <w:rFonts w:hint="eastAsia" w:cs="宋体" w:asciiTheme="minorEastAsia" w:hAnsiTheme="minorEastAsia"/>
          <w:color w:val="000000"/>
          <w:sz w:val="24"/>
          <w:szCs w:val="24"/>
          <w:lang w:val="en-US" w:eastAsia="zh-CN"/>
        </w:rPr>
        <w:t>0</w:t>
      </w:r>
      <w:r>
        <w:rPr>
          <w:rFonts w:cs="宋体" w:asciiTheme="minorEastAsia" w:hAnsiTheme="minorEastAsia"/>
          <w:color w:val="000000"/>
          <w:sz w:val="24"/>
          <w:szCs w:val="24"/>
        </w:rPr>
        <w:t>:</w:t>
      </w:r>
      <w:r>
        <w:rPr>
          <w:rFonts w:hint="eastAsia" w:cs="宋体" w:asciiTheme="minorEastAsia" w:hAnsiTheme="minorEastAsia"/>
          <w:color w:val="000000"/>
          <w:sz w:val="24"/>
          <w:szCs w:val="24"/>
        </w:rPr>
        <w:t>00</w:t>
      </w:r>
      <w:r>
        <w:rPr>
          <w:rFonts w:cs="宋体" w:asciiTheme="minorEastAsia" w:hAnsiTheme="minorEastAsia"/>
          <w:color w:val="000000"/>
          <w:sz w:val="24"/>
          <w:szCs w:val="24"/>
        </w:rPr>
        <w:t>（分批次进行）</w:t>
      </w:r>
    </w:p>
    <w:p w14:paraId="0FD7937C">
      <w:pPr>
        <w:autoSpaceDE w:val="0"/>
        <w:autoSpaceDN w:val="0"/>
        <w:spacing w:before="22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理论考场地点：泰山区龙潭路</w:t>
      </w:r>
      <w:r>
        <w:rPr>
          <w:rFonts w:hint="eastAsia" w:cs="宋体" w:asciiTheme="minorEastAsia" w:hAnsiTheme="minorEastAsia"/>
          <w:color w:val="000000"/>
          <w:sz w:val="24"/>
          <w:szCs w:val="24"/>
        </w:rPr>
        <w:t>217-2号泰安市饭店烹饪协会2楼网络教室;</w:t>
      </w:r>
    </w:p>
    <w:p w14:paraId="3B0EF316">
      <w:pPr>
        <w:autoSpaceDE w:val="0"/>
        <w:autoSpaceDN w:val="0"/>
        <w:spacing w:before="24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理论监考人员姓名：郑金锋、乔伟</w:t>
      </w:r>
    </w:p>
    <w:p w14:paraId="67ACD47D">
      <w:pPr>
        <w:autoSpaceDE w:val="0"/>
        <w:autoSpaceDN w:val="0"/>
        <w:spacing w:before="240" w:line="360" w:lineRule="auto"/>
        <w:ind w:firstLine="240" w:firstLineChars="100"/>
        <w:rPr>
          <w:rFonts w:asciiTheme="minorEastAsia" w:hAnsiTheme="minorEastAsia"/>
          <w:sz w:val="24"/>
          <w:szCs w:val="24"/>
        </w:rPr>
      </w:pPr>
      <w:r>
        <w:rPr>
          <w:rFonts w:cs="宋体" w:asciiTheme="minorEastAsia" w:hAnsiTheme="minorEastAsia"/>
          <w:color w:val="000000"/>
          <w:sz w:val="24"/>
          <w:szCs w:val="24"/>
        </w:rPr>
        <w:t xml:space="preserve">2、 技能操作考核时间: </w:t>
      </w:r>
      <w:r>
        <w:rPr>
          <w:rFonts w:hint="eastAsia" w:cs="宋体" w:asciiTheme="minorEastAsia" w:hAnsiTheme="minorEastAsia"/>
          <w:color w:val="000000"/>
          <w:sz w:val="24"/>
          <w:szCs w:val="24"/>
        </w:rPr>
        <w:t xml:space="preserve">   2024年</w:t>
      </w:r>
      <w:r>
        <w:rPr>
          <w:rFonts w:hint="eastAsia" w:cs="宋体" w:asciiTheme="minorEastAsia" w:hAnsiTheme="minorEastAsia"/>
          <w:color w:val="000000"/>
          <w:sz w:val="24"/>
          <w:szCs w:val="24"/>
          <w:lang w:val="en-US" w:eastAsia="zh-CN"/>
        </w:rPr>
        <w:t>12</w:t>
      </w:r>
      <w:r>
        <w:rPr>
          <w:rFonts w:hint="eastAsia" w:cs="宋体" w:asciiTheme="minorEastAsia" w:hAnsiTheme="minorEastAsia"/>
          <w:color w:val="000000"/>
          <w:sz w:val="24"/>
          <w:szCs w:val="24"/>
        </w:rPr>
        <w:t>月</w:t>
      </w:r>
      <w:r>
        <w:rPr>
          <w:rFonts w:hint="eastAsia" w:cs="宋体" w:asciiTheme="minorEastAsia" w:hAnsiTheme="minorEastAsia"/>
          <w:color w:val="000000"/>
          <w:sz w:val="24"/>
          <w:szCs w:val="24"/>
          <w:lang w:val="en-US" w:eastAsia="zh-CN"/>
        </w:rPr>
        <w:t>25</w:t>
      </w:r>
      <w:r>
        <w:rPr>
          <w:rFonts w:hint="eastAsia" w:cs="宋体" w:asciiTheme="minorEastAsia" w:hAnsiTheme="minorEastAsia"/>
          <w:color w:val="000000"/>
          <w:sz w:val="24"/>
          <w:szCs w:val="24"/>
        </w:rPr>
        <w:t>日   14</w:t>
      </w:r>
      <w:r>
        <w:rPr>
          <w:rFonts w:cs="宋体" w:asciiTheme="minorEastAsia" w:hAnsiTheme="minorEastAsia"/>
          <w:color w:val="000000"/>
          <w:sz w:val="24"/>
          <w:szCs w:val="24"/>
        </w:rPr>
        <w:t>:</w:t>
      </w:r>
      <w:r>
        <w:rPr>
          <w:rFonts w:hint="eastAsia" w:cs="宋体" w:asciiTheme="minorEastAsia" w:hAnsiTheme="minorEastAsia"/>
          <w:color w:val="000000"/>
          <w:sz w:val="24"/>
          <w:szCs w:val="24"/>
        </w:rPr>
        <w:t>0</w:t>
      </w:r>
      <w:r>
        <w:rPr>
          <w:rFonts w:cs="宋体" w:asciiTheme="minorEastAsia" w:hAnsiTheme="minorEastAsia"/>
          <w:color w:val="000000"/>
          <w:sz w:val="24"/>
          <w:szCs w:val="24"/>
        </w:rPr>
        <w:t>0-1</w:t>
      </w:r>
      <w:r>
        <w:rPr>
          <w:rFonts w:hint="eastAsia" w:cs="宋体" w:asciiTheme="minorEastAsia" w:hAnsiTheme="minorEastAsia"/>
          <w:color w:val="000000"/>
          <w:sz w:val="24"/>
          <w:szCs w:val="24"/>
          <w:lang w:val="en-US" w:eastAsia="zh-CN"/>
        </w:rPr>
        <w:t>6</w:t>
      </w:r>
      <w:r>
        <w:rPr>
          <w:rFonts w:cs="宋体" w:asciiTheme="minorEastAsia" w:hAnsiTheme="minorEastAsia"/>
          <w:color w:val="000000"/>
          <w:sz w:val="24"/>
          <w:szCs w:val="24"/>
        </w:rPr>
        <w:t>:00（分批次进行）</w:t>
      </w:r>
    </w:p>
    <w:p w14:paraId="10C57E3C">
      <w:pPr>
        <w:autoSpaceDE w:val="0"/>
        <w:autoSpaceDN w:val="0"/>
        <w:spacing w:before="240" w:line="300" w:lineRule="atLeast"/>
        <w:ind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技能操作考场地点：泰安市泰山区岱宗大街566号巨鼎云海生态园</w:t>
      </w:r>
    </w:p>
    <w:p w14:paraId="3A7F681B">
      <w:pPr>
        <w:autoSpaceDE w:val="0"/>
        <w:autoSpaceDN w:val="0"/>
        <w:spacing w:before="240" w:line="300" w:lineRule="atLeast"/>
        <w:ind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技能操作考评员：</w:t>
      </w:r>
    </w:p>
    <w:p w14:paraId="2697D7C7">
      <w:pPr>
        <w:autoSpaceDE w:val="0"/>
        <w:autoSpaceDN w:val="0"/>
        <w:spacing w:before="240" w:line="300" w:lineRule="atLeast"/>
        <w:ind w:firstLine="480" w:firstLineChars="200"/>
        <w:rPr>
          <w:rFonts w:hint="default" w:cs="宋体" w:asciiTheme="minorEastAsia" w:hAnsiTheme="minorEastAsia" w:eastAsiaTheme="minorEastAsia"/>
          <w:color w:val="000000"/>
          <w:sz w:val="24"/>
          <w:szCs w:val="24"/>
          <w:lang w:val="en-US" w:eastAsia="zh-CN"/>
        </w:rPr>
      </w:pPr>
      <w:r>
        <w:rPr>
          <w:rFonts w:hint="eastAsia" w:cs="宋体" w:asciiTheme="minorEastAsia" w:hAnsiTheme="minorEastAsia"/>
          <w:color w:val="000000"/>
          <w:sz w:val="24"/>
          <w:szCs w:val="24"/>
        </w:rPr>
        <w:t>中式烹调师：窦贤逢、</w:t>
      </w:r>
      <w:r>
        <w:rPr>
          <w:rFonts w:hint="eastAsia" w:cs="宋体" w:asciiTheme="minorEastAsia" w:hAnsiTheme="minorEastAsia"/>
          <w:color w:val="000000"/>
          <w:sz w:val="24"/>
          <w:szCs w:val="24"/>
          <w:lang w:val="en-US" w:eastAsia="zh-CN"/>
        </w:rPr>
        <w:t>郑金锋、关忠</w:t>
      </w:r>
    </w:p>
    <w:p w14:paraId="1D652D51">
      <w:pPr>
        <w:autoSpaceDE w:val="0"/>
        <w:autoSpaceDN w:val="0"/>
        <w:spacing w:before="240" w:line="300" w:lineRule="atLeast"/>
        <w:ind w:firstLine="480" w:firstLineChars="200"/>
        <w:rPr>
          <w:rFonts w:hint="eastAsia" w:cs="宋体" w:asciiTheme="minorEastAsia" w:hAnsiTheme="minorEastAsia" w:eastAsiaTheme="minorEastAsia"/>
          <w:color w:val="000000"/>
          <w:sz w:val="24"/>
          <w:szCs w:val="24"/>
          <w:lang w:eastAsia="zh-CN"/>
        </w:rPr>
      </w:pPr>
      <w:r>
        <w:rPr>
          <w:rFonts w:hint="eastAsia" w:cs="宋体" w:asciiTheme="minorEastAsia" w:hAnsiTheme="minorEastAsia"/>
          <w:color w:val="000000"/>
          <w:sz w:val="24"/>
          <w:szCs w:val="24"/>
        </w:rPr>
        <w:t>中式面点师：</w:t>
      </w:r>
      <w:r>
        <w:rPr>
          <w:rFonts w:hint="eastAsia" w:cs="宋体" w:asciiTheme="minorEastAsia" w:hAnsiTheme="minorEastAsia"/>
          <w:color w:val="000000"/>
          <w:sz w:val="24"/>
          <w:szCs w:val="24"/>
          <w:lang w:val="en-US" w:eastAsia="zh-CN"/>
        </w:rPr>
        <w:t>王文霞</w:t>
      </w:r>
    </w:p>
    <w:p w14:paraId="43073486">
      <w:pPr>
        <w:autoSpaceDE w:val="0"/>
        <w:autoSpaceDN w:val="0"/>
        <w:spacing w:before="180" w:line="360" w:lineRule="atLeast"/>
        <w:ind w:firstLine="240" w:firstLineChars="100"/>
        <w:rPr>
          <w:rFonts w:asciiTheme="minorEastAsia" w:hAnsiTheme="minorEastAsia"/>
          <w:sz w:val="24"/>
          <w:szCs w:val="24"/>
        </w:rPr>
      </w:pPr>
      <w:r>
        <w:rPr>
          <w:rFonts w:cs="宋体" w:asciiTheme="minorEastAsia" w:hAnsiTheme="minorEastAsia"/>
          <w:color w:val="000000"/>
          <w:sz w:val="24"/>
          <w:szCs w:val="24"/>
        </w:rPr>
        <w:t>二、理论考核监考操作流程：</w:t>
      </w:r>
    </w:p>
    <w:p w14:paraId="4CD1E74D">
      <w:pPr>
        <w:autoSpaceDE w:val="0"/>
        <w:autoSpaceDN w:val="0"/>
        <w:spacing w:line="5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1、考前40分钟监考人员到达考务办公室，考务人员强调监考纪律、工作流程、考场规则等相关要求，抽签确定监考人员、监考场次，领取理论试卷、监考人员胸牌、准考证存根，并核对本考场试卷无误后签字。</w:t>
      </w:r>
    </w:p>
    <w:p w14:paraId="50034EAF">
      <w:pPr>
        <w:autoSpaceDE w:val="0"/>
        <w:autoSpaceDN w:val="0"/>
        <w:spacing w:before="24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2、考前30分钟监考人员进入考场。</w:t>
      </w:r>
    </w:p>
    <w:p w14:paraId="59815C5D">
      <w:pPr>
        <w:autoSpaceDE w:val="0"/>
        <w:autoSpaceDN w:val="0"/>
        <w:spacing w:line="552" w:lineRule="atLeast"/>
        <w:ind w:firstLine="480" w:firstLineChars="200"/>
        <w:rPr>
          <w:rFonts w:asciiTheme="minorEastAsia" w:hAnsiTheme="minorEastAsia"/>
          <w:sz w:val="24"/>
          <w:szCs w:val="24"/>
        </w:rPr>
      </w:pPr>
      <w:r>
        <w:rPr>
          <w:rFonts w:cs="宋体" w:asciiTheme="minorEastAsia" w:hAnsiTheme="minorEastAsia"/>
          <w:color w:val="000000"/>
          <w:sz w:val="24"/>
          <w:szCs w:val="24"/>
        </w:rPr>
        <w:t>3、8：20由一名监考人员宣读《理论考场规则》及其他注意事项，另一名监考人员在黑板填写有关内容。完成后，认真检查考生桌洞、桌面是否有违纪物品(手机、书籍、资料等)。将考生违规带入考场的物品统一存放。核对考生身份证、准考证与本人是否相符； 若发现考生准考证、身份证与本人不符，责令其离开考场， 并做好考场记录。</w:t>
      </w:r>
    </w:p>
    <w:p w14:paraId="7B232D58">
      <w:pPr>
        <w:autoSpaceDE w:val="0"/>
        <w:autoSpaceDN w:val="0"/>
        <w:spacing w:before="26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4、 8：30监考人员宣布考核正式开始。</w:t>
      </w:r>
    </w:p>
    <w:p w14:paraId="411EC895">
      <w:pPr>
        <w:autoSpaceDE w:val="0"/>
        <w:autoSpaceDN w:val="0"/>
        <w:spacing w:before="26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5、考生进行机考答题后，监考人员工作：</w:t>
      </w:r>
    </w:p>
    <w:p w14:paraId="0623372C">
      <w:pPr>
        <w:autoSpaceDE w:val="0"/>
        <w:autoSpaceDN w:val="0"/>
        <w:spacing w:line="560" w:lineRule="atLeast"/>
        <w:ind w:right="220" w:firstLine="480" w:firstLineChars="200"/>
        <w:rPr>
          <w:rFonts w:asciiTheme="minorEastAsia" w:hAnsiTheme="minorEastAsia"/>
          <w:sz w:val="24"/>
          <w:szCs w:val="24"/>
        </w:rPr>
      </w:pPr>
      <w:r>
        <w:rPr>
          <w:rFonts w:cs="宋体" w:asciiTheme="minorEastAsia" w:hAnsiTheme="minorEastAsia"/>
          <w:color w:val="000000"/>
          <w:sz w:val="24"/>
          <w:szCs w:val="24"/>
        </w:rPr>
        <w:t>(1)再次核对考生身份证、准考证与本人是否相符。若发现考生准考证、身份证与本人不符，将替考人员带入考务办公室处理。</w:t>
      </w:r>
    </w:p>
    <w:p w14:paraId="473028A8">
      <w:pPr>
        <w:autoSpaceDE w:val="0"/>
        <w:autoSpaceDN w:val="0"/>
        <w:spacing w:before="26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(2) 开考30分钟后监考人员将缺考人员信息记录到考场情况记录上。</w:t>
      </w:r>
    </w:p>
    <w:p w14:paraId="39E98504">
      <w:pPr>
        <w:autoSpaceDE w:val="0"/>
        <w:autoSpaceDN w:val="0"/>
        <w:spacing w:before="480" w:line="1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(3) 理论考核每隔1小时提醒考生时间，考试结束前10分钟、5分钟分别提醒考生注意时间。</w:t>
      </w:r>
    </w:p>
    <w:p w14:paraId="0B7C2FD8">
      <w:pPr>
        <w:autoSpaceDE w:val="0"/>
        <w:autoSpaceDN w:val="0"/>
        <w:spacing w:before="20" w:line="560" w:lineRule="atLeast"/>
        <w:ind w:left="220" w:right="600" w:firstLine="240" w:firstLineChars="100"/>
        <w:rPr>
          <w:rFonts w:asciiTheme="minorEastAsia" w:hAnsiTheme="minorEastAsia"/>
          <w:sz w:val="24"/>
          <w:szCs w:val="24"/>
        </w:rPr>
      </w:pPr>
      <w:r>
        <w:rPr>
          <w:rFonts w:cs="宋体" w:asciiTheme="minorEastAsia" w:hAnsiTheme="minorEastAsia"/>
          <w:color w:val="000000"/>
          <w:sz w:val="24"/>
          <w:szCs w:val="24"/>
        </w:rPr>
        <w:t>(4)监考人员应提醒考生认真核对准考证上打印的信息，若考生发现有错误，监考人员应报告考务办公室，经巡视督导人员确认后，监考人员记录到考场情况记录单上。</w:t>
      </w:r>
    </w:p>
    <w:p w14:paraId="60DA5A94">
      <w:pPr>
        <w:autoSpaceDE w:val="0"/>
        <w:autoSpaceDN w:val="0"/>
        <w:spacing w:line="560" w:lineRule="atLeast"/>
        <w:ind w:left="220" w:right="600" w:firstLine="240" w:firstLineChars="100"/>
        <w:rPr>
          <w:rFonts w:asciiTheme="minorEastAsia" w:hAnsiTheme="minorEastAsia"/>
          <w:sz w:val="24"/>
          <w:szCs w:val="24"/>
        </w:rPr>
      </w:pPr>
      <w:r>
        <w:rPr>
          <w:rFonts w:cs="宋体" w:asciiTheme="minorEastAsia" w:hAnsiTheme="minorEastAsia"/>
          <w:color w:val="000000"/>
          <w:sz w:val="24"/>
          <w:szCs w:val="24"/>
        </w:rPr>
        <w:t>(5) 不间断巡查考生的桌洞及桌面是否有违纪物品，若有及时没收，按技能人才评价违纪违规行为处理工作指引(试行) 处理，及时做好考场记录。</w:t>
      </w:r>
    </w:p>
    <w:p w14:paraId="216B51E8">
      <w:pPr>
        <w:autoSpaceDE w:val="0"/>
        <w:autoSpaceDN w:val="0"/>
        <w:spacing w:line="560" w:lineRule="atLeast"/>
        <w:ind w:left="220" w:right="620" w:firstLine="240" w:firstLineChars="100"/>
        <w:rPr>
          <w:rFonts w:asciiTheme="minorEastAsia" w:hAnsiTheme="minorEastAsia"/>
          <w:sz w:val="24"/>
          <w:szCs w:val="24"/>
        </w:rPr>
      </w:pPr>
      <w:r>
        <w:rPr>
          <w:rFonts w:cs="宋体" w:asciiTheme="minorEastAsia" w:hAnsiTheme="minorEastAsia"/>
          <w:color w:val="000000"/>
          <w:sz w:val="24"/>
          <w:szCs w:val="24"/>
        </w:rPr>
        <w:t>(6) 重点查看考生有无使用手机及电子通讯设备拍摄试卷，传输答案等作弊情况，一经发现立即取消考核资格，将违纪人员带入考务室处理。</w:t>
      </w:r>
    </w:p>
    <w:p w14:paraId="726AA4D4">
      <w:pPr>
        <w:autoSpaceDE w:val="0"/>
        <w:autoSpaceDN w:val="0"/>
        <w:spacing w:line="550" w:lineRule="atLeast"/>
        <w:ind w:left="220" w:right="580" w:firstLine="240" w:firstLineChars="100"/>
        <w:rPr>
          <w:rFonts w:asciiTheme="minorEastAsia" w:hAnsiTheme="minorEastAsia"/>
          <w:sz w:val="24"/>
          <w:szCs w:val="24"/>
        </w:rPr>
      </w:pPr>
      <w:r>
        <w:rPr>
          <w:rFonts w:cs="宋体" w:asciiTheme="minorEastAsia" w:hAnsiTheme="minorEastAsia"/>
          <w:color w:val="000000"/>
          <w:sz w:val="24"/>
          <w:szCs w:val="24"/>
        </w:rPr>
        <w:t>(</w:t>
      </w:r>
      <w:r>
        <w:rPr>
          <w:rFonts w:hint="eastAsia" w:cs="宋体" w:asciiTheme="minorEastAsia" w:hAnsiTheme="minorEastAsia"/>
          <w:color w:val="000000"/>
          <w:sz w:val="24"/>
          <w:szCs w:val="24"/>
        </w:rPr>
        <w:t>7</w:t>
      </w:r>
      <w:r>
        <w:rPr>
          <w:rFonts w:cs="宋体" w:asciiTheme="minorEastAsia" w:hAnsiTheme="minorEastAsia"/>
          <w:color w:val="000000"/>
          <w:sz w:val="24"/>
          <w:szCs w:val="24"/>
        </w:rPr>
        <w:t>) 严格控制好理论考场秩序，做到考场内三无：无替考人员、无手机及违纪物品、无抄袭作弊人员。</w:t>
      </w:r>
    </w:p>
    <w:p w14:paraId="06EDC2B6">
      <w:pPr>
        <w:autoSpaceDE w:val="0"/>
        <w:autoSpaceDN w:val="0"/>
        <w:spacing w:before="240" w:line="320" w:lineRule="atLeast"/>
        <w:ind w:firstLine="480" w:firstLineChars="200"/>
        <w:rPr>
          <w:rFonts w:asciiTheme="minorEastAsia" w:hAnsiTheme="minorEastAsia"/>
          <w:sz w:val="24"/>
          <w:szCs w:val="24"/>
        </w:rPr>
      </w:pPr>
      <w:r>
        <w:rPr>
          <w:rFonts w:cs="宋体" w:asciiTheme="minorEastAsia" w:hAnsiTheme="minorEastAsia"/>
          <w:color w:val="000000"/>
          <w:sz w:val="24"/>
          <w:szCs w:val="24"/>
        </w:rPr>
        <w:t>6、考核结束前5分钟检查考场情况记录是否填写无误。</w:t>
      </w:r>
    </w:p>
    <w:p w14:paraId="150C42DC">
      <w:pPr>
        <w:autoSpaceDE w:val="0"/>
        <w:autoSpaceDN w:val="0"/>
        <w:spacing w:before="200" w:line="360" w:lineRule="atLeast"/>
        <w:ind w:firstLine="240" w:firstLineChars="100"/>
        <w:rPr>
          <w:rFonts w:asciiTheme="minorEastAsia" w:hAnsiTheme="minorEastAsia"/>
          <w:sz w:val="24"/>
          <w:szCs w:val="24"/>
        </w:rPr>
      </w:pPr>
      <w:r>
        <w:rPr>
          <w:rFonts w:cs="宋体" w:asciiTheme="minorEastAsia" w:hAnsiTheme="minorEastAsia"/>
          <w:color w:val="000000"/>
          <w:sz w:val="24"/>
          <w:szCs w:val="24"/>
        </w:rPr>
        <w:t>三、技能操作考核流程：</w:t>
      </w:r>
    </w:p>
    <w:p w14:paraId="7F78003B">
      <w:pPr>
        <w:autoSpaceDE w:val="0"/>
        <w:autoSpaceDN w:val="0"/>
        <w:spacing w:line="560" w:lineRule="atLeast"/>
        <w:ind w:left="360" w:right="400" w:firstLine="480" w:firstLineChars="200"/>
        <w:rPr>
          <w:rFonts w:asciiTheme="minorEastAsia" w:hAnsiTheme="minorEastAsia"/>
          <w:sz w:val="24"/>
          <w:szCs w:val="24"/>
        </w:rPr>
      </w:pPr>
      <w:r>
        <w:rPr>
          <w:rFonts w:cs="宋体" w:asciiTheme="minorEastAsia" w:hAnsiTheme="minorEastAsia"/>
          <w:color w:val="000000"/>
          <w:sz w:val="24"/>
          <w:szCs w:val="24"/>
        </w:rPr>
        <w:t>1、考评人员在考前20分钟领取技能操作试卷、参加实操考核人员准考证存根，并到考场检查设备是否正常运行，备料是否充分。</w:t>
      </w:r>
    </w:p>
    <w:p w14:paraId="34CB4B5E">
      <w:pPr>
        <w:autoSpaceDE w:val="0"/>
        <w:autoSpaceDN w:val="0"/>
        <w:spacing w:line="570" w:lineRule="atLeast"/>
        <w:ind w:right="380" w:firstLine="720" w:firstLineChars="300"/>
        <w:rPr>
          <w:rFonts w:asciiTheme="minorEastAsia" w:hAnsiTheme="minorEastAsia"/>
          <w:sz w:val="24"/>
          <w:szCs w:val="24"/>
        </w:rPr>
      </w:pPr>
      <w:r>
        <w:rPr>
          <w:rFonts w:cs="宋体" w:asciiTheme="minorEastAsia" w:hAnsiTheme="minorEastAsia"/>
          <w:color w:val="000000"/>
          <w:sz w:val="24"/>
          <w:szCs w:val="24"/>
        </w:rPr>
        <w:t>2、考评人员可以提前拆封实际操作试卷，查看技能操作试题，并研究评分标准。</w:t>
      </w:r>
    </w:p>
    <w:p w14:paraId="6984D78E">
      <w:pPr>
        <w:autoSpaceDE w:val="0"/>
        <w:autoSpaceDN w:val="0"/>
        <w:spacing w:line="560" w:lineRule="atLeast"/>
        <w:ind w:left="360" w:right="420" w:firstLine="480" w:firstLineChars="200"/>
        <w:rPr>
          <w:rFonts w:asciiTheme="minorEastAsia" w:hAnsiTheme="minorEastAsia"/>
          <w:sz w:val="24"/>
          <w:szCs w:val="24"/>
        </w:rPr>
      </w:pPr>
      <w:r>
        <w:rPr>
          <w:rFonts w:cs="宋体" w:asciiTheme="minorEastAsia" w:hAnsiTheme="minorEastAsia"/>
          <w:color w:val="000000"/>
          <w:sz w:val="24"/>
          <w:szCs w:val="24"/>
        </w:rPr>
        <w:t>3、考生开始进行点录、操作前，考评人员应再次核对考生身份证、准考证与本人是否相符，若不符，责令考生立即离开考场，并按作弊处理，记录到实操考场情况记录上。</w:t>
      </w:r>
    </w:p>
    <w:p w14:paraId="32786EA5">
      <w:pPr>
        <w:autoSpaceDE w:val="0"/>
        <w:autoSpaceDN w:val="0"/>
        <w:spacing w:line="570" w:lineRule="atLeast"/>
        <w:ind w:left="380" w:right="380" w:firstLine="560"/>
        <w:rPr>
          <w:rFonts w:asciiTheme="minorEastAsia" w:hAnsiTheme="minorEastAsia"/>
          <w:sz w:val="24"/>
          <w:szCs w:val="24"/>
        </w:rPr>
      </w:pPr>
      <w:r>
        <w:rPr>
          <w:rFonts w:cs="宋体" w:asciiTheme="minorEastAsia" w:hAnsiTheme="minorEastAsia"/>
          <w:color w:val="000000"/>
          <w:sz w:val="24"/>
          <w:szCs w:val="24"/>
        </w:rPr>
        <w:t>4、考评人员宣读实操考场规则、安全守则，可以将试题的注意事项、操作要点向考生说明。</w:t>
      </w:r>
    </w:p>
    <w:p w14:paraId="7B703C5A">
      <w:pPr>
        <w:autoSpaceDE w:val="0"/>
        <w:autoSpaceDN w:val="0"/>
        <w:spacing w:line="550" w:lineRule="atLeast"/>
        <w:ind w:left="380" w:right="380" w:firstLine="560"/>
        <w:rPr>
          <w:rFonts w:asciiTheme="minorEastAsia" w:hAnsiTheme="minorEastAsia"/>
          <w:sz w:val="24"/>
          <w:szCs w:val="24"/>
        </w:rPr>
      </w:pPr>
      <w:r>
        <w:rPr>
          <w:rFonts w:cs="宋体" w:asciiTheme="minorEastAsia" w:hAnsiTheme="minorEastAsia"/>
          <w:color w:val="000000"/>
          <w:sz w:val="24"/>
          <w:szCs w:val="24"/>
        </w:rPr>
        <w:t>5、考评人员要对考生认真监督，涉及到安全注意事项要及时提醒，甚至终止考核，但不得对考生的操作进行技术指点或评论。</w:t>
      </w:r>
    </w:p>
    <w:p w14:paraId="7B9DB245">
      <w:pPr>
        <w:autoSpaceDE w:val="0"/>
        <w:autoSpaceDN w:val="0"/>
        <w:spacing w:before="480" w:line="480" w:lineRule="auto"/>
        <w:ind w:left="210" w:leftChars="1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6、考评人员应认真判卷和评分，坚持评分标准，不得交换打分意见，做到公正、公平。最后应将考核结果填写在评分表上，并签名留查。</w:t>
      </w:r>
    </w:p>
    <w:p w14:paraId="7B51C082">
      <w:pPr>
        <w:autoSpaceDE w:val="0"/>
        <w:autoSpaceDN w:val="0"/>
        <w:spacing w:before="480" w:line="480" w:lineRule="auto"/>
        <w:ind w:left="210" w:leftChars="100" w:firstLine="480" w:firstLineChars="200"/>
        <w:rPr>
          <w:rFonts w:asciiTheme="minorEastAsia" w:hAnsiTheme="minorEastAsia"/>
          <w:sz w:val="24"/>
          <w:szCs w:val="24"/>
        </w:rPr>
      </w:pPr>
      <w:r>
        <w:rPr>
          <w:rFonts w:cs="宋体" w:asciiTheme="minorEastAsia" w:hAnsiTheme="minorEastAsia"/>
          <w:color w:val="000000"/>
          <w:sz w:val="24"/>
          <w:szCs w:val="24"/>
        </w:rPr>
        <w:t>7、实操考核结束后，考评人员清点试卷数量无误后封装，并交由考务人员。</w:t>
      </w:r>
    </w:p>
    <w:p w14:paraId="4031EE60">
      <w:pPr>
        <w:autoSpaceDE w:val="0"/>
        <w:autoSpaceDN w:val="0"/>
        <w:spacing w:before="60" w:line="540" w:lineRule="atLeast"/>
        <w:ind w:firstLine="3654" w:firstLineChars="1300"/>
        <w:rPr>
          <w:rFonts w:asciiTheme="minorEastAsia" w:hAnsiTheme="minorEastAsia"/>
          <w:b/>
          <w:sz w:val="28"/>
          <w:szCs w:val="24"/>
        </w:rPr>
      </w:pPr>
      <w:r>
        <w:rPr>
          <w:rFonts w:cs="宋体" w:asciiTheme="minorEastAsia" w:hAnsiTheme="minorEastAsia"/>
          <w:b/>
          <w:color w:val="000000"/>
          <w:sz w:val="28"/>
          <w:szCs w:val="24"/>
        </w:rPr>
        <w:t>主考、副主考工作职责</w:t>
      </w:r>
    </w:p>
    <w:p w14:paraId="1092B6FB">
      <w:pPr>
        <w:autoSpaceDE w:val="0"/>
        <w:autoSpaceDN w:val="0"/>
        <w:spacing w:before="60" w:line="5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1、落实各项考务工作制度，明确考点工作人员的岗位职责。</w:t>
      </w:r>
    </w:p>
    <w:p w14:paraId="2AC40C04">
      <w:pPr>
        <w:autoSpaceDE w:val="0"/>
        <w:autoSpaceDN w:val="0"/>
        <w:spacing w:before="20" w:line="560" w:lineRule="atLeast"/>
        <w:ind w:right="400" w:firstLine="480" w:firstLineChars="200"/>
        <w:rPr>
          <w:rFonts w:asciiTheme="minorEastAsia" w:hAnsiTheme="minorEastAsia"/>
          <w:sz w:val="24"/>
          <w:szCs w:val="24"/>
        </w:rPr>
      </w:pPr>
      <w:r>
        <w:rPr>
          <w:rFonts w:cs="宋体" w:asciiTheme="minorEastAsia" w:hAnsiTheme="minorEastAsia"/>
          <w:color w:val="000000"/>
          <w:sz w:val="24"/>
          <w:szCs w:val="24"/>
        </w:rPr>
        <w:t>2、负责考前监考培训工作，审核监考人员资格，组织抽签确定各考场监考人员，督促监考人员执行考核纪律。</w:t>
      </w:r>
    </w:p>
    <w:p w14:paraId="5F436729">
      <w:pPr>
        <w:autoSpaceDE w:val="0"/>
        <w:autoSpaceDN w:val="0"/>
        <w:spacing w:before="240" w:line="3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3、主持接收、发送试卷，检查试卷保管、考场布置和考前准备等情况。</w:t>
      </w:r>
    </w:p>
    <w:p w14:paraId="36BDB959">
      <w:pPr>
        <w:autoSpaceDE w:val="0"/>
        <w:autoSpaceDN w:val="0"/>
        <w:spacing w:before="220" w:line="3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4、掌握考核时间，发出考核预备、开始和结束的命令。</w:t>
      </w:r>
    </w:p>
    <w:p w14:paraId="67598400">
      <w:pPr>
        <w:autoSpaceDE w:val="0"/>
        <w:autoSpaceDN w:val="0"/>
        <w:spacing w:before="20" w:line="573" w:lineRule="atLeast"/>
        <w:ind w:left="20" w:right="420" w:firstLine="480" w:firstLineChars="200"/>
        <w:rPr>
          <w:rFonts w:asciiTheme="minorEastAsia" w:hAnsiTheme="minorEastAsia"/>
          <w:sz w:val="24"/>
          <w:szCs w:val="24"/>
        </w:rPr>
      </w:pPr>
      <w:r>
        <w:rPr>
          <w:rFonts w:cs="宋体" w:asciiTheme="minorEastAsia" w:hAnsiTheme="minorEastAsia"/>
          <w:color w:val="000000"/>
          <w:sz w:val="24"/>
          <w:szCs w:val="24"/>
        </w:rPr>
        <w:t>5、对违反纪律的监考人员及考点工作人员及时进行撤换，并提出处理意见。按有关规定处理违纪违规考生及相关人员。遇到严重影响考核公平公正的作弊事件时，向公安机关报案。</w:t>
      </w:r>
    </w:p>
    <w:p w14:paraId="41560295">
      <w:pPr>
        <w:autoSpaceDE w:val="0"/>
        <w:autoSpaceDN w:val="0"/>
        <w:spacing w:line="560" w:lineRule="atLeast"/>
        <w:ind w:left="40" w:right="600" w:firstLine="480" w:firstLineChars="200"/>
        <w:rPr>
          <w:rFonts w:asciiTheme="minorEastAsia" w:hAnsiTheme="minorEastAsia"/>
          <w:sz w:val="24"/>
          <w:szCs w:val="24"/>
        </w:rPr>
      </w:pPr>
      <w:r>
        <w:rPr>
          <w:rFonts w:cs="宋体" w:asciiTheme="minorEastAsia" w:hAnsiTheme="minorEastAsia"/>
          <w:color w:val="000000"/>
          <w:sz w:val="24"/>
          <w:szCs w:val="24"/>
        </w:rPr>
        <w:t>6、批准调剂或替换，缺损、错装或有质量问题等情况的试卷、答题卡，并与考场监考人员同时在考场情况记录上注明原因、签字。</w:t>
      </w:r>
    </w:p>
    <w:p w14:paraId="5E00CE72">
      <w:pPr>
        <w:autoSpaceDE w:val="0"/>
        <w:autoSpaceDN w:val="0"/>
        <w:spacing w:line="580" w:lineRule="atLeast"/>
        <w:ind w:left="20" w:right="580" w:firstLine="600"/>
        <w:rPr>
          <w:rFonts w:asciiTheme="minorEastAsia" w:hAnsiTheme="minorEastAsia"/>
          <w:sz w:val="24"/>
          <w:szCs w:val="24"/>
        </w:rPr>
      </w:pPr>
      <w:r>
        <w:rPr>
          <w:rFonts w:cs="宋体" w:asciiTheme="minorEastAsia" w:hAnsiTheme="minorEastAsia"/>
          <w:color w:val="000000"/>
          <w:sz w:val="24"/>
          <w:szCs w:val="24"/>
        </w:rPr>
        <w:t>7、督促检查监考人员做好试卷封装、回收工作， 防止错装、漏装试卷，检查无误后，批准密封。</w:t>
      </w:r>
    </w:p>
    <w:p w14:paraId="14C762E0">
      <w:pPr>
        <w:autoSpaceDE w:val="0"/>
        <w:autoSpaceDN w:val="0"/>
        <w:spacing w:before="220" w:line="340" w:lineRule="atLeast"/>
        <w:ind w:left="620"/>
        <w:rPr>
          <w:rFonts w:asciiTheme="minorEastAsia" w:hAnsiTheme="minorEastAsia"/>
          <w:sz w:val="24"/>
          <w:szCs w:val="24"/>
        </w:rPr>
      </w:pPr>
      <w:r>
        <w:rPr>
          <w:rFonts w:cs="宋体" w:asciiTheme="minorEastAsia" w:hAnsiTheme="minorEastAsia"/>
          <w:color w:val="000000"/>
          <w:sz w:val="24"/>
          <w:szCs w:val="24"/>
        </w:rPr>
        <w:t>8、负责本考点的安全保卫工作。</w:t>
      </w:r>
    </w:p>
    <w:p w14:paraId="18DE6D1E">
      <w:pPr>
        <w:autoSpaceDE w:val="0"/>
        <w:autoSpaceDN w:val="0"/>
        <w:spacing w:before="240" w:line="340" w:lineRule="atLeast"/>
        <w:ind w:left="620"/>
        <w:rPr>
          <w:rFonts w:asciiTheme="minorEastAsia" w:hAnsiTheme="minorEastAsia"/>
          <w:sz w:val="24"/>
          <w:szCs w:val="24"/>
        </w:rPr>
      </w:pPr>
      <w:r>
        <w:rPr>
          <w:rFonts w:cs="宋体" w:asciiTheme="minorEastAsia" w:hAnsiTheme="minorEastAsia"/>
          <w:color w:val="000000"/>
          <w:sz w:val="24"/>
          <w:szCs w:val="24"/>
        </w:rPr>
        <w:t>9、负责本考点的考核情况报告工作。</w:t>
      </w:r>
    </w:p>
    <w:p w14:paraId="28EDD4C8">
      <w:pPr>
        <w:autoSpaceDE w:val="0"/>
        <w:autoSpaceDN w:val="0"/>
        <w:spacing w:before="20" w:line="580" w:lineRule="atLeast"/>
        <w:ind w:left="40" w:right="360" w:firstLine="580"/>
        <w:rPr>
          <w:rFonts w:asciiTheme="minorEastAsia" w:hAnsiTheme="minorEastAsia"/>
          <w:sz w:val="24"/>
          <w:szCs w:val="24"/>
        </w:rPr>
      </w:pPr>
      <w:r>
        <w:rPr>
          <w:rFonts w:cs="宋体" w:asciiTheme="minorEastAsia" w:hAnsiTheme="minorEastAsia"/>
          <w:color w:val="000000"/>
          <w:sz w:val="24"/>
          <w:szCs w:val="24"/>
        </w:rPr>
        <w:t>10、按照权限处理考核期间发生的其他问题。遇有重大特殊情况，及时向考核主管部门报告。</w:t>
      </w:r>
    </w:p>
    <w:p w14:paraId="57D20331">
      <w:pPr>
        <w:autoSpaceDE w:val="0"/>
        <w:autoSpaceDN w:val="0"/>
        <w:spacing w:before="600" w:line="520" w:lineRule="atLeast"/>
        <w:ind w:firstLine="4216" w:firstLineChars="1500"/>
        <w:rPr>
          <w:rFonts w:asciiTheme="minorEastAsia" w:hAnsiTheme="minorEastAsia"/>
          <w:b/>
          <w:sz w:val="28"/>
          <w:szCs w:val="24"/>
        </w:rPr>
      </w:pPr>
      <w:r>
        <w:rPr>
          <w:rFonts w:cs="宋体" w:asciiTheme="minorEastAsia" w:hAnsiTheme="minorEastAsia"/>
          <w:b/>
          <w:color w:val="000000"/>
          <w:sz w:val="28"/>
          <w:szCs w:val="24"/>
        </w:rPr>
        <w:t>监考人员工作职责</w:t>
      </w:r>
    </w:p>
    <w:p w14:paraId="3F3F2210">
      <w:pPr>
        <w:autoSpaceDE w:val="0"/>
        <w:autoSpaceDN w:val="0"/>
        <w:spacing w:line="510" w:lineRule="atLeast"/>
        <w:ind w:left="780" w:firstLine="560"/>
        <w:rPr>
          <w:rFonts w:asciiTheme="minorEastAsia" w:hAnsiTheme="minorEastAsia"/>
          <w:sz w:val="24"/>
          <w:szCs w:val="24"/>
        </w:rPr>
      </w:pPr>
      <w:r>
        <w:rPr>
          <w:rFonts w:cs="宋体" w:asciiTheme="minorEastAsia" w:hAnsiTheme="minorEastAsia"/>
          <w:color w:val="000000"/>
          <w:sz w:val="24"/>
          <w:szCs w:val="24"/>
        </w:rPr>
        <w:t>一、监考人员必须了解有关考点、考场情况以及考场规则和注意事项。但在考核前不得泄露与考核有关的信息。</w:t>
      </w:r>
    </w:p>
    <w:p w14:paraId="1D10E4CE">
      <w:pPr>
        <w:autoSpaceDE w:val="0"/>
        <w:autoSpaceDN w:val="0"/>
        <w:spacing w:before="20" w:line="507" w:lineRule="atLeast"/>
        <w:ind w:left="780" w:firstLine="560"/>
        <w:rPr>
          <w:rFonts w:asciiTheme="minorEastAsia" w:hAnsiTheme="minorEastAsia"/>
          <w:sz w:val="24"/>
          <w:szCs w:val="24"/>
        </w:rPr>
      </w:pPr>
      <w:r>
        <w:rPr>
          <w:rFonts w:cs="宋体" w:asciiTheme="minorEastAsia" w:hAnsiTheme="minorEastAsia"/>
          <w:color w:val="000000"/>
          <w:sz w:val="24"/>
          <w:szCs w:val="24"/>
        </w:rPr>
        <w:t>二、开考前30分钟，两名监考员同时领取完试卷，领取时应检查试卷袋标注的职业、等级、试卷数，确认无误后连同应考人员名册、装订工具等带入考场。</w:t>
      </w:r>
    </w:p>
    <w:p w14:paraId="3D7024C8">
      <w:pPr>
        <w:autoSpaceDE w:val="0"/>
        <w:autoSpaceDN w:val="0"/>
        <w:spacing w:before="20" w:line="520" w:lineRule="atLeast"/>
        <w:ind w:left="820" w:firstLine="520"/>
        <w:rPr>
          <w:rFonts w:asciiTheme="minorEastAsia" w:hAnsiTheme="minorEastAsia"/>
          <w:sz w:val="24"/>
          <w:szCs w:val="24"/>
        </w:rPr>
      </w:pPr>
      <w:r>
        <w:rPr>
          <w:rFonts w:cs="宋体" w:asciiTheme="minorEastAsia" w:hAnsiTheme="minorEastAsia"/>
          <w:color w:val="000000"/>
          <w:sz w:val="24"/>
          <w:szCs w:val="24"/>
        </w:rPr>
        <w:t>三、应考人员进入考场时，监考员须站在门口逐个检查应考人员准考证、身份证以及有无夹带违禁物品，并用金属探测器对考生进行全身检查。</w:t>
      </w:r>
    </w:p>
    <w:p w14:paraId="349485BF">
      <w:pPr>
        <w:autoSpaceDE w:val="0"/>
        <w:autoSpaceDN w:val="0"/>
        <w:spacing w:before="20" w:line="500" w:lineRule="atLeast"/>
        <w:ind w:left="780" w:firstLine="560"/>
        <w:rPr>
          <w:rFonts w:asciiTheme="minorEastAsia" w:hAnsiTheme="minorEastAsia"/>
          <w:sz w:val="24"/>
          <w:szCs w:val="24"/>
        </w:rPr>
      </w:pPr>
      <w:r>
        <w:rPr>
          <w:rFonts w:cs="宋体" w:asciiTheme="minorEastAsia" w:hAnsiTheme="minorEastAsia"/>
          <w:color w:val="000000"/>
          <w:sz w:val="24"/>
          <w:szCs w:val="24"/>
        </w:rPr>
        <w:t>四、开考前10分钟，监考员对考生进行考风考纪教育，宣读考场规则，宣布考场注意事项。查看考生桌面、桌洞有无违纪物品，发现违纪物品及时处理。</w:t>
      </w:r>
    </w:p>
    <w:p w14:paraId="143C80AA">
      <w:pPr>
        <w:autoSpaceDE w:val="0"/>
        <w:autoSpaceDN w:val="0"/>
        <w:spacing w:before="20" w:line="500" w:lineRule="atLeast"/>
        <w:ind w:left="800" w:firstLine="540"/>
        <w:rPr>
          <w:rFonts w:asciiTheme="minorEastAsia" w:hAnsiTheme="minorEastAsia"/>
          <w:sz w:val="24"/>
          <w:szCs w:val="24"/>
        </w:rPr>
      </w:pPr>
      <w:r>
        <w:rPr>
          <w:rFonts w:cs="宋体" w:asciiTheme="minorEastAsia" w:hAnsiTheme="minorEastAsia"/>
          <w:color w:val="000000"/>
          <w:sz w:val="24"/>
          <w:szCs w:val="24"/>
        </w:rPr>
        <w:t>五、试题拆封后，如发现试卷数量不够或开考科目不符时，应立即报告主考。</w:t>
      </w:r>
    </w:p>
    <w:p w14:paraId="475C5655">
      <w:pPr>
        <w:autoSpaceDE w:val="0"/>
        <w:autoSpaceDN w:val="0"/>
        <w:spacing w:before="20" w:line="500" w:lineRule="atLeast"/>
        <w:ind w:left="800" w:firstLine="540"/>
        <w:rPr>
          <w:rFonts w:asciiTheme="minorEastAsia" w:hAnsiTheme="minorEastAsia"/>
          <w:sz w:val="24"/>
          <w:szCs w:val="24"/>
        </w:rPr>
      </w:pPr>
      <w:r>
        <w:rPr>
          <w:rFonts w:cs="宋体" w:asciiTheme="minorEastAsia" w:hAnsiTheme="minorEastAsia"/>
          <w:color w:val="000000"/>
          <w:sz w:val="24"/>
          <w:szCs w:val="24"/>
        </w:rPr>
        <w:t>六、开考前、后，两遍检查参考人员准考证、身份证上的照片与本人是否相符，不允许替考人员参加考核。开考后，逐个检查应考人员准考证号码和填在试卷上的准考证号码是否一致，如发现替考者立即停止其考核，按作弊处理，并在考场情况记录上做好记录。</w:t>
      </w:r>
    </w:p>
    <w:p w14:paraId="3A6E1B9A">
      <w:pPr>
        <w:autoSpaceDE w:val="0"/>
        <w:autoSpaceDN w:val="0"/>
        <w:spacing w:before="40" w:line="500" w:lineRule="atLeast"/>
        <w:ind w:left="800" w:firstLine="540"/>
        <w:rPr>
          <w:rFonts w:asciiTheme="minorEastAsia" w:hAnsiTheme="minorEastAsia"/>
          <w:sz w:val="24"/>
          <w:szCs w:val="24"/>
        </w:rPr>
      </w:pPr>
      <w:r>
        <w:rPr>
          <w:rFonts w:cs="宋体" w:asciiTheme="minorEastAsia" w:hAnsiTheme="minorEastAsia"/>
          <w:color w:val="000000"/>
          <w:sz w:val="24"/>
          <w:szCs w:val="24"/>
        </w:rPr>
        <w:t>七、监考人员对试题的内容不得作任何解释。但考生对试题印刷不清楚或因有漏页、空白页而提出询问时，可当众答复。</w:t>
      </w:r>
    </w:p>
    <w:p w14:paraId="0A608556">
      <w:pPr>
        <w:autoSpaceDE w:val="0"/>
        <w:autoSpaceDN w:val="0"/>
        <w:spacing w:before="20" w:line="507" w:lineRule="atLeast"/>
        <w:ind w:left="780" w:firstLine="560"/>
        <w:rPr>
          <w:rFonts w:asciiTheme="minorEastAsia" w:hAnsiTheme="minorEastAsia"/>
          <w:sz w:val="24"/>
          <w:szCs w:val="24"/>
        </w:rPr>
      </w:pPr>
      <w:r>
        <w:rPr>
          <w:rFonts w:cs="宋体" w:asciiTheme="minorEastAsia" w:hAnsiTheme="minorEastAsia"/>
          <w:color w:val="000000"/>
          <w:sz w:val="24"/>
          <w:szCs w:val="24"/>
        </w:rPr>
        <w:t>八、监考人员发现考生违反考场规则或舞弊时，可先进行口头警告，同时在考场情况记录上如实填写违纪情况，对情节严重、态度恶劣者，要立即停止其考核。</w:t>
      </w:r>
    </w:p>
    <w:p w14:paraId="3BB45BD9">
      <w:pPr>
        <w:autoSpaceDE w:val="0"/>
        <w:autoSpaceDN w:val="0"/>
        <w:spacing w:before="20" w:line="520" w:lineRule="atLeast"/>
        <w:ind w:left="780" w:firstLine="560"/>
        <w:rPr>
          <w:rFonts w:asciiTheme="minorEastAsia" w:hAnsiTheme="minorEastAsia"/>
          <w:sz w:val="24"/>
          <w:szCs w:val="24"/>
        </w:rPr>
      </w:pPr>
      <w:r>
        <w:rPr>
          <w:rFonts w:cs="宋体" w:asciiTheme="minorEastAsia" w:hAnsiTheme="minorEastAsia"/>
          <w:color w:val="000000"/>
          <w:sz w:val="24"/>
          <w:szCs w:val="24"/>
        </w:rPr>
        <w:t>九、监考人员应遵守监考纪律，不看手机，不吸烟、不打瞌睡，不阅读书报和聊天，不准抄题、做题，不暗示考生。</w:t>
      </w:r>
    </w:p>
    <w:p w14:paraId="53AC4457">
      <w:pPr>
        <w:autoSpaceDE w:val="0"/>
        <w:autoSpaceDN w:val="0"/>
        <w:spacing w:line="520" w:lineRule="atLeast"/>
        <w:ind w:left="780" w:firstLine="560"/>
        <w:rPr>
          <w:rFonts w:asciiTheme="minorEastAsia" w:hAnsiTheme="minorEastAsia"/>
          <w:sz w:val="24"/>
          <w:szCs w:val="24"/>
        </w:rPr>
      </w:pPr>
      <w:r>
        <w:rPr>
          <w:rFonts w:cs="宋体" w:asciiTheme="minorEastAsia" w:hAnsiTheme="minorEastAsia"/>
          <w:color w:val="000000"/>
          <w:sz w:val="24"/>
          <w:szCs w:val="24"/>
        </w:rPr>
        <w:t>十、考核结束前30、10、5分钟，监考人员要提醒考生。考核结束时间一到，应告知考生立即停止答卷，将试卷按顺序整理好放在桌上，待监考人员清点无误后，应考人员依次退出考场。</w:t>
      </w:r>
    </w:p>
    <w:p w14:paraId="39E5A97A">
      <w:pPr>
        <w:autoSpaceDE w:val="0"/>
        <w:autoSpaceDN w:val="0"/>
        <w:spacing w:line="540" w:lineRule="atLeast"/>
        <w:ind w:left="840" w:leftChars="400" w:right="280" w:firstLine="480" w:firstLineChars="200"/>
        <w:rPr>
          <w:rFonts w:asciiTheme="minorEastAsia" w:hAnsiTheme="minorEastAsia"/>
          <w:sz w:val="24"/>
          <w:szCs w:val="24"/>
        </w:rPr>
      </w:pPr>
      <w:r>
        <w:rPr>
          <w:rFonts w:cs="宋体" w:asciiTheme="minorEastAsia" w:hAnsiTheme="minorEastAsia"/>
          <w:color w:val="000000"/>
          <w:sz w:val="24"/>
          <w:szCs w:val="24"/>
        </w:rPr>
        <w:t>十一、 考核期间，不得将手机等通讯工具带入考场，不得以任何理由将试卷、草稿纸等带出或传出考场，不串场、不空场，不允许无关人员进入考场。</w:t>
      </w:r>
      <w:r>
        <w:rPr>
          <w:rFonts w:asciiTheme="minorEastAsia" w:hAnsiTheme="minorEastAsia"/>
          <w:sz w:val="24"/>
          <w:szCs w:val="24"/>
        </w:rPr>
        <w:br w:type="page"/>
      </w:r>
    </w:p>
    <w:p w14:paraId="33AD8065">
      <w:pPr>
        <w:autoSpaceDE w:val="0"/>
        <w:autoSpaceDN w:val="0"/>
        <w:spacing w:before="600" w:line="520" w:lineRule="atLeast"/>
        <w:ind w:left="3400"/>
        <w:rPr>
          <w:rFonts w:asciiTheme="minorEastAsia" w:hAnsiTheme="minorEastAsia"/>
          <w:b/>
          <w:sz w:val="28"/>
          <w:szCs w:val="24"/>
        </w:rPr>
      </w:pPr>
      <w:r>
        <w:rPr>
          <w:rFonts w:cs="宋体" w:asciiTheme="minorEastAsia" w:hAnsiTheme="minorEastAsia"/>
          <w:b/>
          <w:color w:val="000000"/>
          <w:sz w:val="28"/>
          <w:szCs w:val="24"/>
        </w:rPr>
        <w:t>考评人员工作职责</w:t>
      </w:r>
    </w:p>
    <w:p w14:paraId="4D65E4E3">
      <w:pPr>
        <w:autoSpaceDE w:val="0"/>
        <w:autoSpaceDN w:val="0"/>
        <w:spacing w:before="540" w:line="567" w:lineRule="atLeast"/>
        <w:ind w:left="560" w:right="200" w:firstLine="560"/>
        <w:rPr>
          <w:rFonts w:asciiTheme="minorEastAsia" w:hAnsiTheme="minorEastAsia"/>
          <w:sz w:val="24"/>
          <w:szCs w:val="24"/>
        </w:rPr>
      </w:pPr>
      <w:r>
        <w:rPr>
          <w:rFonts w:cs="宋体" w:asciiTheme="minorEastAsia" w:hAnsiTheme="minorEastAsia"/>
          <w:color w:val="000000"/>
          <w:sz w:val="24"/>
          <w:szCs w:val="24"/>
        </w:rPr>
        <w:t>一、考评员在规定的职业(工种)、等级和类别范围内对职业技能等级认定对象进行考核和评审，由职业技能等级认定指导中心选派。考评期间必须佩带考评员胸牌。</w:t>
      </w:r>
    </w:p>
    <w:p w14:paraId="703E4B5E">
      <w:pPr>
        <w:autoSpaceDE w:val="0"/>
        <w:autoSpaceDN w:val="0"/>
        <w:spacing w:line="567" w:lineRule="atLeast"/>
        <w:ind w:left="560" w:right="160" w:firstLine="560"/>
        <w:rPr>
          <w:rFonts w:asciiTheme="minorEastAsia" w:hAnsiTheme="minorEastAsia"/>
          <w:sz w:val="24"/>
          <w:szCs w:val="24"/>
        </w:rPr>
      </w:pPr>
      <w:r>
        <w:rPr>
          <w:rFonts w:cs="宋体" w:asciiTheme="minorEastAsia" w:hAnsiTheme="minorEastAsia"/>
          <w:color w:val="000000"/>
          <w:sz w:val="24"/>
          <w:szCs w:val="24"/>
        </w:rPr>
        <w:t>二、考评员进行考评前，必须熟知本次考评的工种、等级、项目、内容、要求及评分(审) 标准。必要时，考评小组提前进行实际考核考评演练，以准确把握评分标准。</w:t>
      </w:r>
    </w:p>
    <w:p w14:paraId="07708D32">
      <w:pPr>
        <w:autoSpaceDE w:val="0"/>
        <w:autoSpaceDN w:val="0"/>
        <w:spacing w:line="560" w:lineRule="atLeast"/>
        <w:ind w:left="580" w:right="140" w:firstLine="540"/>
        <w:rPr>
          <w:rFonts w:asciiTheme="minorEastAsia" w:hAnsiTheme="minorEastAsia"/>
          <w:sz w:val="24"/>
          <w:szCs w:val="24"/>
        </w:rPr>
      </w:pPr>
      <w:r>
        <w:rPr>
          <w:rFonts w:cs="宋体" w:asciiTheme="minorEastAsia" w:hAnsiTheme="minorEastAsia"/>
          <w:color w:val="000000"/>
          <w:sz w:val="24"/>
          <w:szCs w:val="24"/>
        </w:rPr>
        <w:t>三、考前20分钟，考评员进入考场。检查考核场地、设备、工卡量具，检验考核所用材料。</w:t>
      </w:r>
    </w:p>
    <w:p w14:paraId="64D112CB">
      <w:pPr>
        <w:autoSpaceDE w:val="0"/>
        <w:autoSpaceDN w:val="0"/>
        <w:spacing w:line="567" w:lineRule="atLeast"/>
        <w:ind w:left="560" w:right="160" w:firstLine="560"/>
        <w:rPr>
          <w:rFonts w:asciiTheme="minorEastAsia" w:hAnsiTheme="minorEastAsia"/>
          <w:sz w:val="24"/>
          <w:szCs w:val="24"/>
        </w:rPr>
      </w:pPr>
      <w:r>
        <w:rPr>
          <w:rFonts w:cs="宋体" w:asciiTheme="minorEastAsia" w:hAnsiTheme="minorEastAsia"/>
          <w:color w:val="000000"/>
          <w:sz w:val="24"/>
          <w:szCs w:val="24"/>
        </w:rPr>
        <w:t>四、应考人员进入考场时，考评人员检录，检查应考人员的身份证、准考证及允许携带的工卡量具和原材料。检录完毕，抽签确定工位(或考核项目)，应考人员签字确认。</w:t>
      </w:r>
    </w:p>
    <w:p w14:paraId="0F1B9713">
      <w:pPr>
        <w:autoSpaceDE w:val="0"/>
        <w:autoSpaceDN w:val="0"/>
        <w:spacing w:line="565" w:lineRule="atLeast"/>
        <w:ind w:left="560" w:right="140" w:firstLine="560"/>
        <w:rPr>
          <w:rFonts w:asciiTheme="minorEastAsia" w:hAnsiTheme="minorEastAsia"/>
          <w:sz w:val="24"/>
          <w:szCs w:val="24"/>
        </w:rPr>
      </w:pPr>
      <w:r>
        <w:rPr>
          <w:rFonts w:cs="宋体" w:asciiTheme="minorEastAsia" w:hAnsiTheme="minorEastAsia"/>
          <w:color w:val="000000"/>
          <w:sz w:val="24"/>
          <w:szCs w:val="24"/>
        </w:rPr>
        <w:t>五、采用考评合一方式进行操作技能考核的，考评员应严格按照评分标准和评分记录表逐项测评打分，认真填写测评记录并签名。做到评分有据，减分有理，客观公正。考评人员应独立完成各自负责的任务，相互间不得暗示和沟通。</w:t>
      </w:r>
    </w:p>
    <w:p w14:paraId="4ECD9F07">
      <w:pPr>
        <w:autoSpaceDE w:val="0"/>
        <w:autoSpaceDN w:val="0"/>
        <w:spacing w:line="573" w:lineRule="atLeast"/>
        <w:ind w:left="580" w:firstLine="540"/>
        <w:rPr>
          <w:rFonts w:asciiTheme="minorEastAsia" w:hAnsiTheme="minorEastAsia"/>
          <w:sz w:val="24"/>
          <w:szCs w:val="24"/>
        </w:rPr>
      </w:pPr>
      <w:r>
        <w:rPr>
          <w:rFonts w:cs="宋体" w:asciiTheme="minorEastAsia" w:hAnsiTheme="minorEastAsia"/>
          <w:color w:val="000000"/>
          <w:sz w:val="24"/>
          <w:szCs w:val="24"/>
        </w:rPr>
        <w:t>六、采用考评分开方式进行操作技能考核的，考评人员应在现场按评分记录表中有关操作程序和安全文明生产的项目对应考人员进行评分，考项完工后再检测评分。</w:t>
      </w:r>
    </w:p>
    <w:p w14:paraId="0ED9BFFC">
      <w:pPr>
        <w:autoSpaceDE w:val="0"/>
        <w:autoSpaceDN w:val="0"/>
        <w:spacing w:line="575" w:lineRule="atLeast"/>
        <w:ind w:left="560" w:firstLine="560"/>
        <w:rPr>
          <w:rFonts w:asciiTheme="minorEastAsia" w:hAnsiTheme="minorEastAsia"/>
          <w:sz w:val="24"/>
          <w:szCs w:val="24"/>
        </w:rPr>
      </w:pPr>
      <w:r>
        <w:rPr>
          <w:rFonts w:cs="宋体" w:asciiTheme="minorEastAsia" w:hAnsiTheme="minorEastAsia"/>
          <w:color w:val="000000"/>
          <w:sz w:val="24"/>
          <w:szCs w:val="24"/>
        </w:rPr>
        <w:t>七、在考核过程中，因设备故障(非应考人员的人为因素)导致考核不能顺利进行的，考评组长可视情况顺延应考人员考核时间并做好记录。需顺延时间较长的，经应考人员同意，可参加下一批考核。遇有其他疑难问题，要服从考评组长的裁决。</w:t>
      </w:r>
    </w:p>
    <w:p w14:paraId="14E32F1F">
      <w:pPr>
        <w:autoSpaceDE w:val="0"/>
        <w:autoSpaceDN w:val="0"/>
        <w:spacing w:before="500" w:line="480" w:lineRule="auto"/>
        <w:ind w:left="630" w:leftChars="300" w:firstLine="240" w:firstLineChars="100"/>
        <w:rPr>
          <w:rFonts w:asciiTheme="minorEastAsia" w:hAnsiTheme="minorEastAsia"/>
          <w:sz w:val="24"/>
          <w:szCs w:val="24"/>
        </w:rPr>
      </w:pPr>
      <w:r>
        <w:rPr>
          <w:rFonts w:cs="宋体" w:asciiTheme="minorEastAsia" w:hAnsiTheme="minorEastAsia"/>
          <w:color w:val="000000"/>
          <w:sz w:val="24"/>
          <w:szCs w:val="24"/>
        </w:rPr>
        <w:t>八、考评员不得在考核过程中有影响应考人员操作的行为，不得在试题理解方面为其提供帮助；严格执行考评员回避制度。凡违反上述条款者，视情节轻重，分别给予劝告、警告、责令停止执行考评任务、 吊销其考评员资格的处分。</w:t>
      </w:r>
    </w:p>
    <w:p w14:paraId="71A7AB26">
      <w:pPr>
        <w:autoSpaceDE w:val="0"/>
        <w:autoSpaceDN w:val="0"/>
        <w:spacing w:line="540" w:lineRule="atLeast"/>
        <w:ind w:left="480" w:right="720" w:firstLine="540"/>
        <w:rPr>
          <w:rFonts w:asciiTheme="minorEastAsia" w:hAnsiTheme="minorEastAsia"/>
          <w:sz w:val="24"/>
          <w:szCs w:val="24"/>
        </w:rPr>
      </w:pPr>
      <w:r>
        <w:rPr>
          <w:rFonts w:cs="宋体" w:asciiTheme="minorEastAsia" w:hAnsiTheme="minorEastAsia"/>
          <w:color w:val="000000"/>
          <w:sz w:val="24"/>
          <w:szCs w:val="24"/>
        </w:rPr>
        <w:t>九、应考人员有违纪行为，考评员视情节轻重分别给予警告、 中止考核、宣布成绩无效等处理，并将处理结果填写在考场记录上。</w:t>
      </w:r>
    </w:p>
    <w:p w14:paraId="124779FF">
      <w:pPr>
        <w:autoSpaceDE w:val="0"/>
        <w:autoSpaceDN w:val="0"/>
        <w:spacing w:line="540" w:lineRule="atLeast"/>
        <w:ind w:left="480" w:right="680" w:firstLine="540"/>
        <w:rPr>
          <w:rFonts w:asciiTheme="minorEastAsia" w:hAnsiTheme="minorEastAsia"/>
          <w:sz w:val="24"/>
          <w:szCs w:val="24"/>
        </w:rPr>
      </w:pPr>
      <w:r>
        <w:rPr>
          <w:rFonts w:cs="宋体" w:asciiTheme="minorEastAsia" w:hAnsiTheme="minorEastAsia"/>
          <w:color w:val="000000"/>
          <w:sz w:val="24"/>
          <w:szCs w:val="24"/>
        </w:rPr>
        <w:t>十、操作技能考核的检测、评分工作完成后，考评组长在规定时间内向职业技能等级认定指导中心提交考评报告。</w:t>
      </w:r>
    </w:p>
    <w:p w14:paraId="0BA7D1D4">
      <w:pPr>
        <w:autoSpaceDE w:val="0"/>
        <w:autoSpaceDN w:val="0"/>
        <w:spacing w:line="540" w:lineRule="atLeast"/>
        <w:ind w:left="480" w:right="680" w:firstLine="540"/>
        <w:rPr>
          <w:rFonts w:asciiTheme="minorEastAsia" w:hAnsiTheme="minorEastAsia"/>
          <w:sz w:val="24"/>
          <w:szCs w:val="24"/>
        </w:rPr>
      </w:pPr>
    </w:p>
    <w:p w14:paraId="786961FB">
      <w:pPr>
        <w:autoSpaceDE w:val="0"/>
        <w:autoSpaceDN w:val="0"/>
        <w:spacing w:line="540" w:lineRule="atLeast"/>
        <w:ind w:left="480" w:right="680" w:firstLine="3654" w:firstLineChars="1300"/>
        <w:rPr>
          <w:rFonts w:asciiTheme="minorEastAsia" w:hAnsiTheme="minorEastAsia"/>
          <w:b/>
          <w:sz w:val="28"/>
          <w:szCs w:val="24"/>
        </w:rPr>
      </w:pPr>
      <w:r>
        <w:rPr>
          <w:rFonts w:cs="宋体" w:asciiTheme="minorEastAsia" w:hAnsiTheme="minorEastAsia"/>
          <w:b/>
          <w:color w:val="000000"/>
          <w:sz w:val="28"/>
          <w:szCs w:val="24"/>
        </w:rPr>
        <w:t>巡视人员工作职责</w:t>
      </w:r>
    </w:p>
    <w:p w14:paraId="0F4B3A88">
      <w:pPr>
        <w:autoSpaceDE w:val="0"/>
        <w:autoSpaceDN w:val="0"/>
        <w:spacing w:before="540" w:line="540" w:lineRule="atLeast"/>
        <w:ind w:left="960" w:right="380" w:firstLine="520"/>
        <w:rPr>
          <w:rFonts w:asciiTheme="minorEastAsia" w:hAnsiTheme="minorEastAsia"/>
          <w:sz w:val="24"/>
          <w:szCs w:val="24"/>
        </w:rPr>
      </w:pPr>
      <w:r>
        <w:rPr>
          <w:rFonts w:cs="宋体" w:asciiTheme="minorEastAsia" w:hAnsiTheme="minorEastAsia"/>
          <w:color w:val="000000"/>
          <w:sz w:val="24"/>
          <w:szCs w:val="24"/>
        </w:rPr>
        <w:t>1、巡视人员应熟悉业务，坚持原则、认真负责。要严格按照规定和要求，对鉴定工作的全过程进行检查、监督。巡视人员要自觉遵守有关规定，不接受宴请或以任何名义赠予的礼品、礼物。</w:t>
      </w:r>
    </w:p>
    <w:p w14:paraId="71E7434C">
      <w:pPr>
        <w:autoSpaceDE w:val="0"/>
        <w:autoSpaceDN w:val="0"/>
        <w:spacing w:line="547" w:lineRule="atLeast"/>
        <w:ind w:left="960" w:right="380" w:firstLine="520"/>
        <w:rPr>
          <w:rFonts w:asciiTheme="minorEastAsia" w:hAnsiTheme="minorEastAsia"/>
          <w:sz w:val="24"/>
          <w:szCs w:val="24"/>
        </w:rPr>
      </w:pPr>
      <w:r>
        <w:rPr>
          <w:rFonts w:cs="宋体" w:asciiTheme="minorEastAsia" w:hAnsiTheme="minorEastAsia"/>
          <w:color w:val="000000"/>
          <w:sz w:val="24"/>
          <w:szCs w:val="24"/>
        </w:rPr>
        <w:t>2、巡视人员要提前半小时到达考点，首先检查理论考场是否按考场编排设置，考场门口是否贴有考场信息，桌面是否贴桌号，桌面及桌洞是否清理干净，发现问题及时纠正。</w:t>
      </w:r>
    </w:p>
    <w:p w14:paraId="7BF45E7E">
      <w:pPr>
        <w:autoSpaceDE w:val="0"/>
        <w:autoSpaceDN w:val="0"/>
        <w:spacing w:line="540" w:lineRule="atLeast"/>
        <w:ind w:left="1000" w:right="380" w:firstLine="480"/>
        <w:rPr>
          <w:rFonts w:asciiTheme="minorEastAsia" w:hAnsiTheme="minorEastAsia"/>
          <w:sz w:val="24"/>
          <w:szCs w:val="24"/>
        </w:rPr>
      </w:pPr>
      <w:r>
        <w:rPr>
          <w:rFonts w:cs="宋体" w:asciiTheme="minorEastAsia" w:hAnsiTheme="minorEastAsia"/>
          <w:color w:val="000000"/>
          <w:sz w:val="24"/>
          <w:szCs w:val="24"/>
        </w:rPr>
        <w:t>3、查看监考人员、工作人员、 考评人员是否到位，是否召开培训会、考务会，会后由巡视人员抽签确定监考人员，并再次强调有关注意事项。</w:t>
      </w:r>
    </w:p>
    <w:p w14:paraId="64D0ED9F">
      <w:pPr>
        <w:autoSpaceDE w:val="0"/>
        <w:autoSpaceDN w:val="0"/>
        <w:spacing w:line="540" w:lineRule="atLeast"/>
        <w:ind w:left="960" w:right="380" w:firstLine="520"/>
        <w:rPr>
          <w:rFonts w:asciiTheme="minorEastAsia" w:hAnsiTheme="minorEastAsia"/>
          <w:sz w:val="24"/>
          <w:szCs w:val="24"/>
        </w:rPr>
      </w:pPr>
      <w:r>
        <w:rPr>
          <w:rFonts w:cs="宋体" w:asciiTheme="minorEastAsia" w:hAnsiTheme="minorEastAsia"/>
          <w:color w:val="000000"/>
          <w:sz w:val="24"/>
          <w:szCs w:val="24"/>
        </w:rPr>
        <w:t>4、查看考生进场情况，检查黑板上书写内容，监督理论监考人员是否按要求宣读理论考场规则，查验考生身份等工作执行情况，及工作人员到位情况。</w:t>
      </w:r>
    </w:p>
    <w:p w14:paraId="708131A4">
      <w:pPr>
        <w:autoSpaceDE w:val="0"/>
        <w:autoSpaceDN w:val="0"/>
        <w:spacing w:before="20" w:line="540" w:lineRule="atLeast"/>
        <w:ind w:left="960" w:right="380" w:firstLine="520"/>
        <w:rPr>
          <w:rFonts w:asciiTheme="minorEastAsia" w:hAnsiTheme="minorEastAsia"/>
          <w:sz w:val="24"/>
          <w:szCs w:val="24"/>
        </w:rPr>
      </w:pPr>
      <w:r>
        <w:rPr>
          <w:rFonts w:cs="宋体" w:asciiTheme="minorEastAsia" w:hAnsiTheme="minorEastAsia"/>
          <w:color w:val="000000"/>
          <w:sz w:val="24"/>
          <w:szCs w:val="24"/>
        </w:rPr>
        <w:t>5、巡视考场纪律执行情况，抽查考生身份(单一考点4个考场以内的，巡视人员要逐一复核考生身份)、查看考生桌面、桌洞有无违纪物品，提醒监考人员对手机及电子通讯设备要严格控制。对秩序较差的考场向监考人员提出整改意见，若考场秩序仍无好转，建议考点撤换监考人员，启动备用监考人员，同时向市职业技能等级认定中心值班人员报备情况。理论考核期间，巡视人员要不间断巡视理论考场。</w:t>
      </w:r>
    </w:p>
    <w:p w14:paraId="5B9D9E23">
      <w:pPr>
        <w:autoSpaceDE w:val="0"/>
        <w:autoSpaceDN w:val="0"/>
        <w:spacing w:line="560" w:lineRule="atLeast"/>
        <w:ind w:left="1000" w:right="360" w:firstLine="480"/>
        <w:rPr>
          <w:rFonts w:asciiTheme="minorEastAsia" w:hAnsiTheme="minorEastAsia"/>
          <w:sz w:val="24"/>
          <w:szCs w:val="24"/>
        </w:rPr>
      </w:pPr>
      <w:r>
        <w:rPr>
          <w:rFonts w:cs="宋体" w:asciiTheme="minorEastAsia" w:hAnsiTheme="minorEastAsia"/>
          <w:color w:val="000000"/>
          <w:sz w:val="24"/>
          <w:szCs w:val="24"/>
        </w:rPr>
        <w:t>6、理论考核结束前5分钟，到达考务办公室，查看监考人员交卷及封卷情况。</w:t>
      </w:r>
    </w:p>
    <w:p w14:paraId="2B6F4965">
      <w:pPr>
        <w:autoSpaceDE w:val="0"/>
        <w:autoSpaceDN w:val="0"/>
        <w:spacing w:line="550" w:lineRule="atLeast"/>
        <w:ind w:left="960" w:right="340" w:firstLine="520"/>
        <w:rPr>
          <w:rFonts w:asciiTheme="minorEastAsia" w:hAnsiTheme="minorEastAsia"/>
          <w:sz w:val="24"/>
          <w:szCs w:val="24"/>
        </w:rPr>
      </w:pPr>
      <w:r>
        <w:rPr>
          <w:rFonts w:cs="宋体" w:asciiTheme="minorEastAsia" w:hAnsiTheme="minorEastAsia"/>
          <w:color w:val="000000"/>
          <w:sz w:val="24"/>
          <w:szCs w:val="24"/>
        </w:rPr>
        <w:t>7、理论考核结束核对试卷无误后将试卷存放在考点保密室。巡视人员要监督考点召开考评工作会议，提出对考评工作的相关要求。</w:t>
      </w:r>
    </w:p>
    <w:p w14:paraId="5831C42A">
      <w:pPr>
        <w:autoSpaceDE w:val="0"/>
        <w:autoSpaceDN w:val="0"/>
        <w:spacing w:before="20" w:line="540" w:lineRule="atLeast"/>
        <w:ind w:left="980" w:right="320" w:firstLine="500"/>
        <w:rPr>
          <w:rFonts w:asciiTheme="minorEastAsia" w:hAnsiTheme="minorEastAsia"/>
          <w:sz w:val="24"/>
          <w:szCs w:val="24"/>
        </w:rPr>
      </w:pPr>
      <w:r>
        <w:rPr>
          <w:rFonts w:cs="宋体" w:asciiTheme="minorEastAsia" w:hAnsiTheme="minorEastAsia"/>
          <w:color w:val="000000"/>
          <w:sz w:val="24"/>
          <w:szCs w:val="24"/>
        </w:rPr>
        <w:t>8、根据考点实操考场安排，逐个巡视实操考场，对照考点各职业(工种)备料单、查看考点备料、设备是否按要求配备；对照试卷查看考生是否按试卷要求进行操作； 对照安全注意事项，查找安全隐患。查看考评人员履职情况，与考评人员积极交流，探讨所用试题是否客观、公正，查看考核现场是否有工作人员引导，秩序是否良好。</w:t>
      </w:r>
    </w:p>
    <w:p w14:paraId="2FEE60A2">
      <w:pPr>
        <w:autoSpaceDE w:val="0"/>
        <w:autoSpaceDN w:val="0"/>
        <w:spacing w:before="20" w:line="540" w:lineRule="atLeast"/>
        <w:ind w:left="840" w:leftChars="400" w:right="800" w:firstLine="480" w:firstLineChars="200"/>
        <w:rPr>
          <w:rFonts w:asciiTheme="minorEastAsia" w:hAnsiTheme="minorEastAsia"/>
          <w:sz w:val="24"/>
          <w:szCs w:val="24"/>
        </w:rPr>
      </w:pPr>
      <w:r>
        <w:rPr>
          <w:rFonts w:cs="宋体" w:asciiTheme="minorEastAsia" w:hAnsiTheme="minorEastAsia"/>
          <w:color w:val="000000"/>
          <w:sz w:val="24"/>
          <w:szCs w:val="24"/>
        </w:rPr>
        <w:t>9、实操考核结束后，要认真核对试卷，核对无误后，将试卷押运回市职业技能等级认定中心保密室，做好试卷交接手续。</w:t>
      </w:r>
    </w:p>
    <w:p w14:paraId="21CC609F">
      <w:pPr>
        <w:autoSpaceDE w:val="0"/>
        <w:autoSpaceDN w:val="0"/>
        <w:spacing w:line="547" w:lineRule="atLeast"/>
        <w:ind w:left="840" w:leftChars="400" w:right="860" w:firstLine="480" w:firstLineChars="200"/>
        <w:rPr>
          <w:rFonts w:asciiTheme="minorEastAsia" w:hAnsiTheme="minorEastAsia"/>
          <w:sz w:val="24"/>
          <w:szCs w:val="24"/>
        </w:rPr>
      </w:pPr>
      <w:r>
        <w:rPr>
          <w:rFonts w:cs="宋体" w:asciiTheme="minorEastAsia" w:hAnsiTheme="minorEastAsia"/>
          <w:color w:val="000000"/>
          <w:sz w:val="24"/>
          <w:szCs w:val="24"/>
        </w:rPr>
        <w:t>10、鉴定结束后要将考点鉴定期间出现的问题通报给考点负责人，提出下一步工作的意见、建议将考点理论、实操考场情况及考评人员工作情况，如实填写到巡视督导报告单上。</w:t>
      </w:r>
    </w:p>
    <w:p w14:paraId="43938BC7">
      <w:pPr>
        <w:autoSpaceDE w:val="0"/>
        <w:autoSpaceDN w:val="0"/>
        <w:spacing w:line="547" w:lineRule="atLeast"/>
        <w:ind w:left="840" w:leftChars="400" w:right="860" w:firstLine="2811" w:firstLineChars="1000"/>
        <w:rPr>
          <w:rFonts w:asciiTheme="minorEastAsia" w:hAnsiTheme="minorEastAsia"/>
          <w:b/>
          <w:sz w:val="28"/>
          <w:szCs w:val="24"/>
        </w:rPr>
      </w:pPr>
      <w:r>
        <w:rPr>
          <w:rFonts w:cs="宋体" w:asciiTheme="minorEastAsia" w:hAnsiTheme="minorEastAsia"/>
          <w:b/>
          <w:color w:val="000000"/>
          <w:sz w:val="28"/>
          <w:szCs w:val="24"/>
        </w:rPr>
        <w:t>督导人员工作职责</w:t>
      </w:r>
    </w:p>
    <w:p w14:paraId="59639BB6">
      <w:pPr>
        <w:autoSpaceDE w:val="0"/>
        <w:autoSpaceDN w:val="0"/>
        <w:spacing w:line="547" w:lineRule="atLeast"/>
        <w:ind w:left="840" w:leftChars="400" w:right="860" w:firstLine="480" w:firstLineChars="200"/>
        <w:rPr>
          <w:rFonts w:asciiTheme="minorEastAsia" w:hAnsiTheme="minorEastAsia"/>
          <w:sz w:val="24"/>
          <w:szCs w:val="24"/>
        </w:rPr>
      </w:pPr>
      <w:r>
        <w:rPr>
          <w:rFonts w:cs="宋体" w:asciiTheme="minorEastAsia" w:hAnsiTheme="minorEastAsia"/>
          <w:color w:val="000000"/>
          <w:sz w:val="24"/>
          <w:szCs w:val="24"/>
        </w:rPr>
        <w:t>一、每次职业技能等级认定活动，每个考点安排2名以上质量督导员进行现场督导。质量督导人员应熟悉业务，坚持原则、认真负责。要严格按照规定和要求，对鉴定工作的全过程进行检查、监督。工作期间，应佩带质量督导员胸卡。</w:t>
      </w:r>
    </w:p>
    <w:p w14:paraId="7D05A780">
      <w:pPr>
        <w:autoSpaceDE w:val="0"/>
        <w:autoSpaceDN w:val="0"/>
        <w:spacing w:line="596" w:lineRule="atLeast"/>
        <w:ind w:left="780" w:right="160" w:firstLine="540"/>
        <w:rPr>
          <w:rFonts w:asciiTheme="minorEastAsia" w:hAnsiTheme="minorEastAsia"/>
          <w:sz w:val="24"/>
          <w:szCs w:val="24"/>
        </w:rPr>
      </w:pPr>
      <w:r>
        <w:rPr>
          <w:rFonts w:cs="宋体" w:asciiTheme="minorEastAsia" w:hAnsiTheme="minorEastAsia"/>
          <w:color w:val="000000"/>
          <w:sz w:val="24"/>
          <w:szCs w:val="24"/>
        </w:rPr>
        <w:t>二、质量督导人员要提前一天到达考点，按照职业技能等级认定考务工作要求，对组织管理(组考方案、工作制度等)、考场设置(大小、桌向与间隔、考号张贴、设备仪器等)、试卷管理(保密室、制度、保密人员等) 、人员配备(监考人员、考评人员、工作人员、保卫人员等)等准备工作进行抽样检查，发现问题，及时纠正。</w:t>
      </w:r>
    </w:p>
    <w:p w14:paraId="1B20AB1E">
      <w:pPr>
        <w:autoSpaceDE w:val="0"/>
        <w:autoSpaceDN w:val="0"/>
        <w:spacing w:line="600" w:lineRule="atLeast"/>
        <w:ind w:left="740" w:right="140" w:firstLine="580"/>
        <w:rPr>
          <w:rFonts w:asciiTheme="minorEastAsia" w:hAnsiTheme="minorEastAsia"/>
          <w:sz w:val="24"/>
          <w:szCs w:val="24"/>
        </w:rPr>
      </w:pPr>
      <w:r>
        <w:rPr>
          <w:rFonts w:cs="宋体" w:asciiTheme="minorEastAsia" w:hAnsiTheme="minorEastAsia"/>
          <w:color w:val="000000"/>
          <w:sz w:val="24"/>
          <w:szCs w:val="24"/>
        </w:rPr>
        <w:t>三、考试前1小时，质量督导人员到达考点。对考场的入场图标、制度与考号的张贴，人员到岗情况，考前会议，试卷配备等，进行全面检查，发现问题及时纠正或上报。</w:t>
      </w:r>
    </w:p>
    <w:p w14:paraId="5F8B53AB">
      <w:pPr>
        <w:autoSpaceDE w:val="0"/>
        <w:autoSpaceDN w:val="0"/>
        <w:spacing w:line="600" w:lineRule="atLeast"/>
        <w:ind w:left="760" w:right="140" w:firstLine="560"/>
        <w:rPr>
          <w:rFonts w:asciiTheme="minorEastAsia" w:hAnsiTheme="minorEastAsia"/>
          <w:sz w:val="24"/>
          <w:szCs w:val="24"/>
        </w:rPr>
      </w:pPr>
      <w:r>
        <w:rPr>
          <w:rFonts w:cs="宋体" w:asciiTheme="minorEastAsia" w:hAnsiTheme="minorEastAsia"/>
          <w:color w:val="000000"/>
          <w:sz w:val="24"/>
          <w:szCs w:val="24"/>
        </w:rPr>
        <w:t>四、鉴定过程中，质量督导人员应对监考人员、考评人员的资格、回避、交叉使用等情况进行询问、检查并监督他们的执考情况，确保认定工作的公正。</w:t>
      </w:r>
    </w:p>
    <w:p w14:paraId="11C5007C">
      <w:pPr>
        <w:autoSpaceDE w:val="0"/>
        <w:autoSpaceDN w:val="0"/>
        <w:spacing w:line="612" w:lineRule="atLeast"/>
        <w:ind w:left="740" w:firstLine="580"/>
        <w:rPr>
          <w:rFonts w:asciiTheme="minorEastAsia" w:hAnsiTheme="minorEastAsia"/>
          <w:sz w:val="24"/>
          <w:szCs w:val="24"/>
        </w:rPr>
      </w:pPr>
      <w:r>
        <w:rPr>
          <w:rFonts w:cs="宋体" w:asciiTheme="minorEastAsia" w:hAnsiTheme="minorEastAsia"/>
          <w:color w:val="000000"/>
          <w:sz w:val="24"/>
          <w:szCs w:val="24"/>
        </w:rPr>
        <w:t>五、认定过程中，质量督导人员应对考场纪律及应考人员和监考人员、考评人员进行全过程的现场检查监督。如发现替考、舞弊等违纪的应考人员，应当场制止，并通知监考人员如实记录； 对失职和不负责任的考评员、监考员，按规定予以当场批评指正； 违反考试纪律情节严重的，应提请主考处理。当主考对考试中发生的问题处理不当时，质量督导员向当地认定部门报告。</w:t>
      </w:r>
    </w:p>
    <w:p w14:paraId="20C7B1FF">
      <w:pPr>
        <w:autoSpaceDE w:val="0"/>
        <w:autoSpaceDN w:val="0"/>
        <w:spacing w:before="280" w:line="320" w:lineRule="atLeast"/>
        <w:ind w:left="1320"/>
        <w:rPr>
          <w:rFonts w:cs="宋体" w:asciiTheme="minorEastAsia" w:hAnsiTheme="minorEastAsia"/>
          <w:color w:val="000000"/>
          <w:sz w:val="24"/>
          <w:szCs w:val="24"/>
        </w:rPr>
      </w:pPr>
      <w:r>
        <w:rPr>
          <w:rFonts w:cs="宋体" w:asciiTheme="minorEastAsia" w:hAnsiTheme="minorEastAsia"/>
          <w:color w:val="000000"/>
          <w:sz w:val="24"/>
          <w:szCs w:val="24"/>
        </w:rPr>
        <w:t>六、认定过程中，如发生考场管理混乱、大面积应考人员作弊、监考人员或考评人员</w:t>
      </w:r>
    </w:p>
    <w:p w14:paraId="778F628A">
      <w:pPr>
        <w:autoSpaceDE w:val="0"/>
        <w:autoSpaceDN w:val="0"/>
        <w:spacing w:before="280" w:line="480" w:lineRule="auto"/>
        <w:ind w:left="630" w:leftChars="300"/>
        <w:rPr>
          <w:rFonts w:cs="宋体" w:asciiTheme="minorEastAsia" w:hAnsiTheme="minorEastAsia"/>
          <w:color w:val="000000"/>
          <w:sz w:val="24"/>
          <w:szCs w:val="24"/>
        </w:rPr>
      </w:pPr>
      <w:r>
        <w:rPr>
          <w:rFonts w:cs="宋体" w:asciiTheme="minorEastAsia" w:hAnsiTheme="minorEastAsia"/>
          <w:color w:val="000000"/>
          <w:sz w:val="24"/>
          <w:szCs w:val="24"/>
        </w:rPr>
        <w:t>与应考人员集体作弊等严重违规违纪行为，质量督导人员应向当地</w:t>
      </w:r>
      <w:r>
        <w:rPr>
          <w:rFonts w:hint="eastAsia" w:cs="宋体" w:asciiTheme="minorEastAsia" w:hAnsiTheme="minorEastAsia"/>
          <w:color w:val="000000"/>
          <w:sz w:val="24"/>
          <w:szCs w:val="24"/>
        </w:rPr>
        <w:t>认</w:t>
      </w:r>
      <w:r>
        <w:rPr>
          <w:rFonts w:cs="宋体" w:asciiTheme="minorEastAsia" w:hAnsiTheme="minorEastAsia"/>
          <w:color w:val="000000"/>
          <w:sz w:val="24"/>
          <w:szCs w:val="24"/>
        </w:rPr>
        <w:t>定部门报告并提出处理建议；如当地</w:t>
      </w:r>
      <w:r>
        <w:rPr>
          <w:rFonts w:hint="eastAsia" w:cs="宋体" w:asciiTheme="minorEastAsia" w:hAnsiTheme="minorEastAsia"/>
          <w:color w:val="000000"/>
          <w:sz w:val="24"/>
          <w:szCs w:val="24"/>
        </w:rPr>
        <w:t>认</w:t>
      </w:r>
      <w:r>
        <w:rPr>
          <w:rFonts w:cs="宋体" w:asciiTheme="minorEastAsia" w:hAnsiTheme="minorEastAsia"/>
          <w:color w:val="000000"/>
          <w:sz w:val="24"/>
          <w:szCs w:val="24"/>
        </w:rPr>
        <w:t>定部门处理不当，可直接请示委派机构，要求更换监考员或考评员，或取消有关应考人员的</w:t>
      </w:r>
      <w:r>
        <w:rPr>
          <w:rFonts w:hint="eastAsia" w:cs="宋体" w:asciiTheme="minorEastAsia" w:hAnsiTheme="minorEastAsia"/>
          <w:color w:val="000000"/>
          <w:sz w:val="24"/>
          <w:szCs w:val="24"/>
        </w:rPr>
        <w:t>认</w:t>
      </w:r>
      <w:r>
        <w:rPr>
          <w:rFonts w:cs="宋体" w:asciiTheme="minorEastAsia" w:hAnsiTheme="minorEastAsia"/>
          <w:color w:val="000000"/>
          <w:sz w:val="24"/>
          <w:szCs w:val="24"/>
        </w:rPr>
        <w:t>定资格；情节极其严重的，经上报批准后，终止有关</w:t>
      </w:r>
      <w:r>
        <w:rPr>
          <w:rFonts w:hint="eastAsia" w:cs="宋体" w:asciiTheme="minorEastAsia" w:hAnsiTheme="minorEastAsia"/>
          <w:color w:val="000000"/>
          <w:sz w:val="24"/>
          <w:szCs w:val="24"/>
        </w:rPr>
        <w:t>认</w:t>
      </w:r>
      <w:r>
        <w:rPr>
          <w:rFonts w:cs="宋体" w:asciiTheme="minorEastAsia" w:hAnsiTheme="minorEastAsia"/>
          <w:color w:val="000000"/>
          <w:sz w:val="24"/>
          <w:szCs w:val="24"/>
        </w:rPr>
        <w:t>定活动。</w:t>
      </w:r>
    </w:p>
    <w:p w14:paraId="38CC6A63">
      <w:pPr>
        <w:autoSpaceDE w:val="0"/>
        <w:autoSpaceDN w:val="0"/>
        <w:spacing w:line="600" w:lineRule="atLeast"/>
        <w:ind w:left="630" w:leftChars="300" w:right="680" w:firstLine="480" w:firstLineChars="200"/>
        <w:rPr>
          <w:rFonts w:asciiTheme="minorEastAsia" w:hAnsiTheme="minorEastAsia"/>
          <w:sz w:val="24"/>
          <w:szCs w:val="24"/>
        </w:rPr>
      </w:pPr>
      <w:r>
        <w:rPr>
          <w:rFonts w:cs="宋体" w:asciiTheme="minorEastAsia" w:hAnsiTheme="minorEastAsia"/>
          <w:color w:val="000000"/>
          <w:sz w:val="24"/>
          <w:szCs w:val="24"/>
        </w:rPr>
        <w:t>七、考试开始和结束时，质量督导人员应观察监考人员、考评人员发放、收回、封存试卷的时间、地点、程序是否符合要求。发现问题及时纠正。</w:t>
      </w:r>
    </w:p>
    <w:p w14:paraId="30989C77">
      <w:pPr>
        <w:autoSpaceDE w:val="0"/>
        <w:autoSpaceDN w:val="0"/>
        <w:spacing w:line="600" w:lineRule="atLeast"/>
        <w:ind w:left="630" w:leftChars="300" w:right="640" w:firstLine="480" w:firstLineChars="200"/>
        <w:rPr>
          <w:rFonts w:asciiTheme="minorEastAsia" w:hAnsiTheme="minorEastAsia"/>
          <w:sz w:val="24"/>
          <w:szCs w:val="24"/>
        </w:rPr>
      </w:pPr>
      <w:r>
        <w:rPr>
          <w:rFonts w:cs="宋体" w:asciiTheme="minorEastAsia" w:hAnsiTheme="minorEastAsia"/>
          <w:color w:val="000000"/>
          <w:sz w:val="24"/>
          <w:szCs w:val="24"/>
        </w:rPr>
        <w:t>八、考试结束后，可安排不同形式的座谈会，听取应考人员、培训教师、监考人员对鉴定方式、考场纪律，以及标准、教材、试卷等方面的意见和反映。</w:t>
      </w:r>
    </w:p>
    <w:p w14:paraId="70C43572">
      <w:pPr>
        <w:autoSpaceDE w:val="0"/>
        <w:autoSpaceDN w:val="0"/>
        <w:spacing w:line="610" w:lineRule="atLeast"/>
        <w:ind w:left="840" w:leftChars="400" w:right="660" w:firstLine="480" w:firstLineChars="200"/>
        <w:rPr>
          <w:rFonts w:asciiTheme="minorEastAsia" w:hAnsiTheme="minorEastAsia"/>
          <w:sz w:val="24"/>
          <w:szCs w:val="24"/>
        </w:rPr>
      </w:pPr>
      <w:r>
        <w:rPr>
          <w:rFonts w:cs="宋体" w:asciiTheme="minorEastAsia" w:hAnsiTheme="minorEastAsia"/>
          <w:color w:val="000000"/>
          <w:sz w:val="24"/>
          <w:szCs w:val="24"/>
        </w:rPr>
        <w:t>九、质量督导工作结束后，填写质量督导表，对本次鉴定工作作出总体评价，提出意见和建议，并向派出机构提交书面质量督导报告。</w:t>
      </w:r>
    </w:p>
    <w:p w14:paraId="4E0C4681">
      <w:pPr>
        <w:autoSpaceDE w:val="0"/>
        <w:autoSpaceDN w:val="0"/>
        <w:spacing w:before="260" w:line="320" w:lineRule="atLeast"/>
        <w:ind w:left="560" w:firstLine="720" w:firstLineChars="300"/>
        <w:rPr>
          <w:rFonts w:asciiTheme="minorEastAsia" w:hAnsiTheme="minorEastAsia"/>
          <w:sz w:val="24"/>
          <w:szCs w:val="24"/>
        </w:rPr>
      </w:pPr>
      <w:r>
        <w:rPr>
          <w:rFonts w:cs="宋体" w:asciiTheme="minorEastAsia" w:hAnsiTheme="minorEastAsia"/>
          <w:color w:val="000000"/>
          <w:sz w:val="24"/>
          <w:szCs w:val="24"/>
        </w:rPr>
        <w:t>十、质量督导员要自觉遵守有关制度规定，严格要求，秉公督导。</w:t>
      </w:r>
    </w:p>
    <w:p w14:paraId="17420782">
      <w:pPr>
        <w:autoSpaceDE w:val="0"/>
        <w:autoSpaceDN w:val="0"/>
        <w:spacing w:before="260" w:line="320" w:lineRule="atLeast"/>
        <w:ind w:left="560" w:firstLine="720" w:firstLineChars="300"/>
        <w:rPr>
          <w:rFonts w:asciiTheme="minorEastAsia" w:hAnsiTheme="minorEastAsia"/>
          <w:sz w:val="24"/>
          <w:szCs w:val="24"/>
        </w:rPr>
      </w:pPr>
    </w:p>
    <w:p w14:paraId="7F2773E6">
      <w:pPr>
        <w:autoSpaceDE w:val="0"/>
        <w:autoSpaceDN w:val="0"/>
        <w:spacing w:before="260" w:line="320" w:lineRule="atLeast"/>
        <w:ind w:left="560" w:firstLine="2249" w:firstLineChars="800"/>
        <w:rPr>
          <w:rFonts w:asciiTheme="minorEastAsia" w:hAnsiTheme="minorEastAsia"/>
          <w:b/>
          <w:sz w:val="28"/>
          <w:szCs w:val="24"/>
        </w:rPr>
      </w:pPr>
      <w:r>
        <w:rPr>
          <w:rFonts w:cs="宋体" w:asciiTheme="minorEastAsia" w:hAnsiTheme="minorEastAsia"/>
          <w:b/>
          <w:color w:val="000000"/>
          <w:sz w:val="28"/>
          <w:szCs w:val="24"/>
        </w:rPr>
        <w:t>技能人才评价违纪违规行为处理工作指引</w:t>
      </w:r>
    </w:p>
    <w:p w14:paraId="5C72A0AE">
      <w:pPr>
        <w:autoSpaceDE w:val="0"/>
        <w:autoSpaceDN w:val="0"/>
        <w:spacing w:before="260" w:line="320" w:lineRule="atLeast"/>
        <w:ind w:left="560" w:firstLine="3600" w:firstLineChars="1500"/>
        <w:rPr>
          <w:rFonts w:asciiTheme="minorEastAsia" w:hAnsiTheme="minorEastAsia"/>
          <w:sz w:val="24"/>
          <w:szCs w:val="24"/>
        </w:rPr>
      </w:pPr>
      <w:r>
        <w:rPr>
          <w:rFonts w:cs="宋体" w:asciiTheme="minorEastAsia" w:hAnsiTheme="minorEastAsia"/>
          <w:color w:val="000000"/>
          <w:sz w:val="24"/>
          <w:szCs w:val="24"/>
        </w:rPr>
        <w:t>(试</w:t>
      </w:r>
      <w:r>
        <w:rPr>
          <w:rFonts w:hint="eastAsia" w:cs="宋体" w:asciiTheme="minorEastAsia" w:hAnsiTheme="minorEastAsia"/>
          <w:color w:val="000000"/>
          <w:sz w:val="24"/>
          <w:szCs w:val="24"/>
        </w:rPr>
        <w:t xml:space="preserve"> </w:t>
      </w:r>
      <w:r>
        <w:rPr>
          <w:rFonts w:cs="宋体" w:asciiTheme="minorEastAsia" w:hAnsiTheme="minorEastAsia"/>
          <w:color w:val="000000"/>
          <w:sz w:val="24"/>
          <w:szCs w:val="24"/>
        </w:rPr>
        <w:t>行)</w:t>
      </w:r>
    </w:p>
    <w:p w14:paraId="3476966D">
      <w:pPr>
        <w:pStyle w:val="9"/>
        <w:numPr>
          <w:ilvl w:val="0"/>
          <w:numId w:val="2"/>
        </w:numPr>
        <w:autoSpaceDE w:val="0"/>
        <w:autoSpaceDN w:val="0"/>
        <w:spacing w:before="260" w:line="320" w:lineRule="atLeast"/>
        <w:ind w:firstLineChars="0"/>
        <w:rPr>
          <w:rFonts w:asciiTheme="minorEastAsia" w:hAnsiTheme="minorEastAsia"/>
          <w:sz w:val="24"/>
          <w:szCs w:val="24"/>
        </w:rPr>
      </w:pPr>
      <w:r>
        <w:rPr>
          <w:rFonts w:cs="宋体" w:asciiTheme="minorEastAsia" w:hAnsiTheme="minorEastAsia"/>
          <w:color w:val="000000"/>
          <w:sz w:val="24"/>
          <w:szCs w:val="24"/>
        </w:rPr>
        <w:t>总  则</w:t>
      </w:r>
    </w:p>
    <w:p w14:paraId="392F60D7">
      <w:pPr>
        <w:numPr>
          <w:ilvl w:val="0"/>
          <w:numId w:val="3"/>
        </w:numPr>
        <w:autoSpaceDE w:val="0"/>
        <w:autoSpaceDN w:val="0"/>
        <w:spacing w:before="260" w:line="480" w:lineRule="auto"/>
        <w:ind w:left="630" w:leftChars="3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 xml:space="preserve"> 为规范技能人才评价违纪违规行为的认定与处理，维护技能人才评价的公平、公正，保障参评人员、工作人员及评价机构的合法权益，根据《中华人民共和国劳动法》和《劳动保 障监察条例》(国务 院令第 423 号)等有关法律法规，结合工作实际，制定本指引。</w:t>
      </w:r>
    </w:p>
    <w:p w14:paraId="4730F16D">
      <w:pPr>
        <w:numPr>
          <w:ilvl w:val="0"/>
          <w:numId w:val="3"/>
        </w:numPr>
        <w:autoSpaceDE w:val="0"/>
        <w:autoSpaceDN w:val="0"/>
        <w:spacing w:before="260" w:line="480" w:lineRule="auto"/>
        <w:ind w:left="630" w:leftChars="300" w:firstLine="480" w:firstLineChars="200"/>
        <w:rPr>
          <w:rFonts w:asciiTheme="minorEastAsia" w:hAnsiTheme="minorEastAsia"/>
          <w:sz w:val="24"/>
          <w:szCs w:val="24"/>
        </w:rPr>
      </w:pPr>
      <w:r>
        <w:rPr>
          <w:rFonts w:cs="宋体" w:asciiTheme="minorEastAsia" w:hAnsiTheme="minorEastAsia"/>
          <w:color w:val="000000"/>
          <w:sz w:val="24"/>
          <w:szCs w:val="24"/>
        </w:rPr>
        <w:t>第二条  技能人才评价违纪违规行为(以下简称违纪违规行为)的认定与处理适用本指引。 法律、 行政法规和部门规章另有规定的，从其规定。</w:t>
      </w:r>
    </w:p>
    <w:p w14:paraId="30C10ECB">
      <w:pPr>
        <w:numPr>
          <w:ilvl w:val="0"/>
          <w:numId w:val="0"/>
        </w:numPr>
        <w:autoSpaceDE w:val="0"/>
        <w:autoSpaceDN w:val="0"/>
        <w:spacing w:before="260" w:line="480" w:lineRule="auto"/>
        <w:rPr>
          <w:rFonts w:asciiTheme="minorEastAsia" w:hAnsiTheme="minorEastAsia"/>
          <w:sz w:val="24"/>
          <w:szCs w:val="24"/>
        </w:rPr>
      </w:pPr>
      <w:r>
        <w:rPr>
          <w:rFonts w:cs="宋体" w:asciiTheme="minorEastAsia" w:hAnsiTheme="minorEastAsia"/>
          <w:color w:val="000000"/>
          <w:sz w:val="24"/>
          <w:szCs w:val="24"/>
        </w:rPr>
        <w:t>本指引所称技能人才评价包括技能人员职业资格评价、职业技能等级认定、专项职业能力考核等。</w:t>
      </w:r>
    </w:p>
    <w:p w14:paraId="7D52C70E">
      <w:pPr>
        <w:numPr>
          <w:ilvl w:val="0"/>
          <w:numId w:val="3"/>
        </w:numPr>
        <w:autoSpaceDE w:val="0"/>
        <w:autoSpaceDN w:val="0"/>
        <w:spacing w:before="80" w:line="620" w:lineRule="atLeast"/>
        <w:ind w:left="630" w:leftChars="300" w:right="24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 xml:space="preserve"> 坚持合法依规、客观公正、科学规范、 惩教结合的原则对违纪违规行为进行认定和处理。</w:t>
      </w:r>
    </w:p>
    <w:p w14:paraId="6334DB23">
      <w:pPr>
        <w:numPr>
          <w:ilvl w:val="0"/>
          <w:numId w:val="0"/>
        </w:numPr>
        <w:autoSpaceDE w:val="0"/>
        <w:autoSpaceDN w:val="0"/>
        <w:spacing w:before="80" w:line="620" w:lineRule="atLeast"/>
        <w:ind w:leftChars="500" w:right="240" w:rightChars="0"/>
        <w:rPr>
          <w:rFonts w:cs="宋体" w:asciiTheme="minorEastAsia" w:hAnsiTheme="minorEastAsia"/>
          <w:color w:val="000000"/>
          <w:sz w:val="24"/>
          <w:szCs w:val="24"/>
        </w:rPr>
      </w:pPr>
      <w:r>
        <w:rPr>
          <w:rFonts w:cs="宋体" w:asciiTheme="minorEastAsia" w:hAnsiTheme="minorEastAsia"/>
          <w:color w:val="000000"/>
          <w:sz w:val="24"/>
          <w:szCs w:val="24"/>
        </w:rPr>
        <w:t>第四条  人力资源社会保障部职业能力建设司负责全国技能人才评价工作的统筹规划、</w:t>
      </w:r>
    </w:p>
    <w:p w14:paraId="3B2743F6">
      <w:pPr>
        <w:autoSpaceDE w:val="0"/>
        <w:autoSpaceDN w:val="0"/>
        <w:spacing w:before="720" w:line="276" w:lineRule="auto"/>
        <w:rPr>
          <w:rFonts w:cs="宋体" w:asciiTheme="minorEastAsia" w:hAnsiTheme="minorEastAsia"/>
          <w:color w:val="000000"/>
          <w:sz w:val="24"/>
          <w:szCs w:val="24"/>
        </w:rPr>
      </w:pPr>
      <w:r>
        <w:rPr>
          <w:rFonts w:cs="宋体" w:asciiTheme="minorEastAsia" w:hAnsiTheme="minorEastAsia"/>
          <w:color w:val="000000"/>
          <w:sz w:val="24"/>
          <w:szCs w:val="24"/>
        </w:rPr>
        <w:t>综合管理和监督检查； 中国就业培训技术指导中心(人力资源社会保障部职业技能鉴定中心)负责</w:t>
      </w:r>
    </w:p>
    <w:p w14:paraId="16D88CD8">
      <w:pPr>
        <w:autoSpaceDE w:val="0"/>
        <w:autoSpaceDN w:val="0"/>
        <w:spacing w:before="720" w:line="480" w:lineRule="auto"/>
        <w:rPr>
          <w:rFonts w:asciiTheme="minorEastAsia" w:hAnsiTheme="minorEastAsia"/>
          <w:sz w:val="24"/>
          <w:szCs w:val="24"/>
        </w:rPr>
      </w:pPr>
      <w:r>
        <w:rPr>
          <w:rFonts w:cs="宋体" w:asciiTheme="minorEastAsia" w:hAnsiTheme="minorEastAsia"/>
          <w:color w:val="000000"/>
          <w:sz w:val="24"/>
          <w:szCs w:val="24"/>
        </w:rPr>
        <w:t>国技能人才评价质量监管的组织实施和技术支持服务。各省级人力资源社会保障部门负责属地技能人才评价工作的监督检查与处理。行业部门人事劳动保障工作机构负责本行业领域技能人才评价工作的监督检查与处理。评价机构依据本指引对参评人员、工作人员在评价过程中的违纪违规行为进行认定与处理。</w:t>
      </w:r>
    </w:p>
    <w:p w14:paraId="25A2FA8B">
      <w:pPr>
        <w:autoSpaceDE w:val="0"/>
        <w:autoSpaceDN w:val="0"/>
        <w:spacing w:before="1280" w:line="300" w:lineRule="atLeast"/>
        <w:ind w:left="2000"/>
        <w:rPr>
          <w:rFonts w:asciiTheme="minorEastAsia" w:hAnsiTheme="minorEastAsia"/>
          <w:sz w:val="24"/>
          <w:szCs w:val="24"/>
        </w:rPr>
      </w:pPr>
      <w:r>
        <w:rPr>
          <w:rFonts w:cs="宋体" w:asciiTheme="minorEastAsia" w:hAnsiTheme="minorEastAsia"/>
          <w:color w:val="000000"/>
          <w:sz w:val="24"/>
          <w:szCs w:val="24"/>
        </w:rPr>
        <w:t>第二章  参评人员违纪违规行为的认定与处理</w:t>
      </w:r>
    </w:p>
    <w:p w14:paraId="2792FF84">
      <w:pPr>
        <w:autoSpaceDE w:val="0"/>
        <w:autoSpaceDN w:val="0"/>
        <w:spacing w:before="520" w:line="560" w:lineRule="atLeast"/>
        <w:ind w:left="1140" w:right="1120"/>
        <w:rPr>
          <w:rFonts w:asciiTheme="minorEastAsia" w:hAnsiTheme="minorEastAsia"/>
          <w:sz w:val="24"/>
          <w:szCs w:val="24"/>
        </w:rPr>
      </w:pPr>
      <w:r>
        <w:rPr>
          <w:rFonts w:cs="宋体" w:asciiTheme="minorEastAsia" w:hAnsiTheme="minorEastAsia"/>
          <w:color w:val="000000"/>
          <w:sz w:val="24"/>
          <w:szCs w:val="24"/>
        </w:rPr>
        <w:t>第五条  参评人员有下列行为之一的， 取消其当次该科目的评定成绩。</w:t>
      </w:r>
    </w:p>
    <w:p w14:paraId="7F481F7A">
      <w:pPr>
        <w:autoSpaceDE w:val="0"/>
        <w:autoSpaceDN w:val="0"/>
        <w:spacing w:before="260" w:line="600" w:lineRule="atLeast"/>
        <w:ind w:left="720" w:right="1080" w:firstLine="660"/>
        <w:rPr>
          <w:rFonts w:asciiTheme="minorEastAsia" w:hAnsiTheme="minorEastAsia"/>
          <w:sz w:val="24"/>
          <w:szCs w:val="24"/>
        </w:rPr>
      </w:pPr>
      <w:r>
        <w:rPr>
          <w:rFonts w:cs="宋体" w:asciiTheme="minorEastAsia" w:hAnsiTheme="minorEastAsia"/>
          <w:color w:val="000000"/>
          <w:sz w:val="24"/>
          <w:szCs w:val="24"/>
        </w:rPr>
        <w:t>(一)携带禁携物品(包括与评价内容相关的书籍、资料、电子产品、通讯 设备以及规定以外的工具等)进入座位(或考位)或未将禁携物品放在指定位置，经提醒拒不改正的；</w:t>
      </w:r>
    </w:p>
    <w:p w14:paraId="228EBDE5">
      <w:pPr>
        <w:autoSpaceDE w:val="0"/>
        <w:autoSpaceDN w:val="0"/>
        <w:spacing w:before="80" w:line="580" w:lineRule="atLeast"/>
        <w:ind w:left="820" w:right="1000" w:firstLine="320"/>
        <w:rPr>
          <w:rFonts w:asciiTheme="minorEastAsia" w:hAnsiTheme="minorEastAsia"/>
          <w:sz w:val="24"/>
          <w:szCs w:val="24"/>
        </w:rPr>
      </w:pPr>
      <w:r>
        <w:rPr>
          <w:rFonts w:cs="宋体" w:asciiTheme="minorEastAsia" w:hAnsiTheme="minorEastAsia"/>
          <w:color w:val="000000"/>
          <w:sz w:val="24"/>
          <w:szCs w:val="24"/>
        </w:rPr>
        <w:t>(二)未 在 规 定 的 座位(或考位)参加评价</w:t>
      </w:r>
      <w:r>
        <w:rPr>
          <w:rFonts w:hint="eastAsia" w:cs="宋体" w:asciiTheme="minorEastAsia" w:hAnsiTheme="minorEastAsia"/>
          <w:color w:val="000000"/>
          <w:sz w:val="24"/>
          <w:szCs w:val="24"/>
          <w:lang w:eastAsia="zh-CN"/>
        </w:rPr>
        <w:t>，</w:t>
      </w:r>
      <w:r>
        <w:rPr>
          <w:rFonts w:cs="宋体" w:asciiTheme="minorEastAsia" w:hAnsiTheme="minorEastAsia"/>
          <w:color w:val="000000"/>
          <w:sz w:val="24"/>
          <w:szCs w:val="24"/>
        </w:rPr>
        <w:t>或未经工作人员允许擅自离开座位(或考位)，经提醒拒不改正的；</w:t>
      </w:r>
    </w:p>
    <w:p w14:paraId="6D5598D2">
      <w:pPr>
        <w:autoSpaceDE w:val="0"/>
        <w:autoSpaceDN w:val="0"/>
        <w:spacing w:before="80" w:line="580" w:lineRule="atLeast"/>
        <w:ind w:left="820" w:right="1000" w:firstLine="320"/>
        <w:rPr>
          <w:rFonts w:asciiTheme="minorEastAsia" w:hAnsiTheme="minorEastAsia"/>
          <w:sz w:val="24"/>
          <w:szCs w:val="24"/>
        </w:rPr>
      </w:pPr>
      <w:r>
        <w:rPr>
          <w:rFonts w:cs="宋体" w:asciiTheme="minorEastAsia" w:hAnsiTheme="minorEastAsia"/>
          <w:color w:val="000000"/>
          <w:sz w:val="24"/>
          <w:szCs w:val="24"/>
        </w:rPr>
        <w:t>(三)在考场(或考区)禁止的范围内</w:t>
      </w:r>
      <w:r>
        <w:rPr>
          <w:rFonts w:hint="eastAsia" w:cs="宋体" w:asciiTheme="minorEastAsia" w:hAnsiTheme="minorEastAsia"/>
          <w:color w:val="000000"/>
          <w:sz w:val="24"/>
          <w:szCs w:val="24"/>
          <w:lang w:eastAsia="zh-CN"/>
        </w:rPr>
        <w:t>，</w:t>
      </w:r>
      <w:r>
        <w:rPr>
          <w:rFonts w:cs="宋体" w:asciiTheme="minorEastAsia" w:hAnsiTheme="minorEastAsia"/>
          <w:color w:val="000000"/>
          <w:sz w:val="24"/>
          <w:szCs w:val="24"/>
        </w:rPr>
        <w:t>喧哗</w:t>
      </w:r>
      <w:r>
        <w:rPr>
          <w:rFonts w:hint="eastAsia" w:cs="宋体" w:asciiTheme="minorEastAsia" w:hAnsiTheme="minorEastAsia"/>
          <w:color w:val="000000"/>
          <w:sz w:val="24"/>
          <w:szCs w:val="24"/>
          <w:lang w:eastAsia="zh-CN"/>
        </w:rPr>
        <w:t>、</w:t>
      </w:r>
      <w:r>
        <w:rPr>
          <w:rFonts w:cs="宋体" w:asciiTheme="minorEastAsia" w:hAnsiTheme="minorEastAsia"/>
          <w:color w:val="000000"/>
          <w:sz w:val="24"/>
          <w:szCs w:val="24"/>
        </w:rPr>
        <w:t>吸烟或实施其他影响考场秩序的行为，经提醒拒不改正的；</w:t>
      </w:r>
    </w:p>
    <w:p w14:paraId="29B8AC13">
      <w:pPr>
        <w:autoSpaceDE w:val="0"/>
        <w:autoSpaceDN w:val="0"/>
        <w:spacing w:before="540" w:line="300" w:lineRule="atLeast"/>
        <w:ind w:left="840"/>
        <w:rPr>
          <w:rFonts w:asciiTheme="minorEastAsia" w:hAnsiTheme="minorEastAsia"/>
          <w:sz w:val="24"/>
          <w:szCs w:val="24"/>
        </w:rPr>
      </w:pPr>
      <w:r>
        <w:rPr>
          <w:rFonts w:cs="宋体" w:asciiTheme="minorEastAsia" w:hAnsiTheme="minorEastAsia"/>
          <w:color w:val="000000"/>
          <w:sz w:val="24"/>
          <w:szCs w:val="24"/>
        </w:rPr>
        <w:t>(四)其他违反考场规则但尚未构成作弊的行为。</w:t>
      </w:r>
    </w:p>
    <w:p w14:paraId="025C2C05">
      <w:pPr>
        <w:autoSpaceDE w:val="0"/>
        <w:autoSpaceDN w:val="0"/>
        <w:spacing w:line="720" w:lineRule="atLeast"/>
        <w:ind w:left="660" w:right="600" w:firstLine="840"/>
        <w:rPr>
          <w:rFonts w:asciiTheme="minorEastAsia" w:hAnsiTheme="minorEastAsia"/>
          <w:sz w:val="24"/>
          <w:szCs w:val="24"/>
        </w:rPr>
      </w:pPr>
      <w:r>
        <w:rPr>
          <w:rFonts w:cs="宋体" w:asciiTheme="minorEastAsia" w:hAnsiTheme="minorEastAsia"/>
          <w:color w:val="000000"/>
          <w:sz w:val="24"/>
          <w:szCs w:val="24"/>
        </w:rPr>
        <w:t>第六条  参评人员有下列行为之一的， 取消其当次全部科目评价成绩，且当年不得参加评价。</w:t>
      </w:r>
    </w:p>
    <w:p w14:paraId="41E552BA">
      <w:pPr>
        <w:autoSpaceDE w:val="0"/>
        <w:autoSpaceDN w:val="0"/>
        <w:spacing w:before="180" w:line="620" w:lineRule="atLeast"/>
        <w:ind w:left="700" w:right="520" w:firstLine="800"/>
        <w:rPr>
          <w:rFonts w:asciiTheme="minorEastAsia" w:hAnsiTheme="minorEastAsia"/>
          <w:sz w:val="24"/>
          <w:szCs w:val="24"/>
        </w:rPr>
      </w:pPr>
      <w:r>
        <w:rPr>
          <w:rFonts w:cs="宋体" w:asciiTheme="minorEastAsia" w:hAnsiTheme="minorEastAsia"/>
          <w:color w:val="000000"/>
          <w:sz w:val="24"/>
          <w:szCs w:val="24"/>
        </w:rPr>
        <w:t>(一) 在评价过程中使用规定以外的带拍照、存储、传输或通讯功能的电子设备(如相机</w:t>
      </w:r>
      <w:r>
        <w:rPr>
          <w:rFonts w:hint="eastAsia" w:cs="宋体" w:asciiTheme="minorEastAsia" w:hAnsiTheme="minorEastAsia"/>
          <w:color w:val="000000"/>
          <w:sz w:val="24"/>
          <w:szCs w:val="24"/>
          <w:lang w:eastAsia="zh-CN"/>
        </w:rPr>
        <w:t>、</w:t>
      </w:r>
      <w:r>
        <w:rPr>
          <w:rFonts w:cs="宋体" w:asciiTheme="minorEastAsia" w:hAnsiTheme="minorEastAsia"/>
          <w:color w:val="000000"/>
          <w:sz w:val="24"/>
          <w:szCs w:val="24"/>
        </w:rPr>
        <w:t>手机、耳机、U 盘、手提电脑、智能手表、智能手环等)或其他电子用品的；</w:t>
      </w:r>
    </w:p>
    <w:p w14:paraId="757B5360">
      <w:pPr>
        <w:autoSpaceDE w:val="0"/>
        <w:autoSpaceDN w:val="0"/>
        <w:spacing w:before="80" w:line="580" w:lineRule="atLeast"/>
        <w:ind w:left="800" w:right="460" w:firstLine="700"/>
        <w:rPr>
          <w:rFonts w:asciiTheme="minorEastAsia" w:hAnsiTheme="minorEastAsia"/>
          <w:sz w:val="24"/>
          <w:szCs w:val="24"/>
        </w:rPr>
      </w:pPr>
      <w:r>
        <w:rPr>
          <w:rFonts w:cs="宋体" w:asciiTheme="minorEastAsia" w:hAnsiTheme="minorEastAsia"/>
          <w:color w:val="000000"/>
          <w:sz w:val="24"/>
          <w:szCs w:val="24"/>
        </w:rPr>
        <w:t>(二)抄袭或协助他人抄袭试题答案或与评价内容相关资料等的；</w:t>
      </w:r>
    </w:p>
    <w:p w14:paraId="0284C1C4">
      <w:pPr>
        <w:autoSpaceDE w:val="0"/>
        <w:autoSpaceDN w:val="0"/>
        <w:spacing w:before="580" w:line="300" w:lineRule="atLeast"/>
        <w:ind w:left="1500"/>
        <w:rPr>
          <w:rFonts w:asciiTheme="minorEastAsia" w:hAnsiTheme="minorEastAsia"/>
          <w:sz w:val="24"/>
          <w:szCs w:val="24"/>
        </w:rPr>
      </w:pPr>
      <w:r>
        <w:rPr>
          <w:rFonts w:cs="宋体" w:asciiTheme="minorEastAsia" w:hAnsiTheme="minorEastAsia"/>
          <w:color w:val="000000"/>
          <w:sz w:val="24"/>
          <w:szCs w:val="24"/>
        </w:rPr>
        <w:t>(三)故意损毁试卷、 工件或考试材料的；</w:t>
      </w:r>
    </w:p>
    <w:p w14:paraId="233DBFC6">
      <w:pPr>
        <w:autoSpaceDE w:val="0"/>
        <w:autoSpaceDN w:val="0"/>
        <w:spacing w:before="540" w:line="300" w:lineRule="atLeast"/>
        <w:ind w:left="1500"/>
        <w:rPr>
          <w:rFonts w:asciiTheme="minorEastAsia" w:hAnsiTheme="minorEastAsia"/>
          <w:sz w:val="24"/>
          <w:szCs w:val="24"/>
        </w:rPr>
      </w:pPr>
      <w:r>
        <w:rPr>
          <w:rFonts w:cs="宋体" w:asciiTheme="minorEastAsia" w:hAnsiTheme="minorEastAsia"/>
          <w:color w:val="000000"/>
          <w:sz w:val="24"/>
          <w:szCs w:val="24"/>
        </w:rPr>
        <w:t>(四)擅自将试题、 答卷或者有关内容带出考场的；</w:t>
      </w:r>
    </w:p>
    <w:p w14:paraId="03002E5A">
      <w:pPr>
        <w:autoSpaceDE w:val="0"/>
        <w:autoSpaceDN w:val="0"/>
        <w:spacing w:before="160" w:line="660" w:lineRule="atLeast"/>
        <w:ind w:left="860" w:right="460" w:firstLine="640"/>
        <w:rPr>
          <w:rFonts w:asciiTheme="minorEastAsia" w:hAnsiTheme="minorEastAsia"/>
          <w:sz w:val="24"/>
          <w:szCs w:val="24"/>
        </w:rPr>
      </w:pPr>
      <w:r>
        <w:rPr>
          <w:rFonts w:cs="宋体" w:asciiTheme="minorEastAsia" w:hAnsiTheme="minorEastAsia"/>
          <w:color w:val="000000"/>
          <w:sz w:val="24"/>
          <w:szCs w:val="24"/>
        </w:rPr>
        <w:t>(五)存在其他作弊但对其他应试人员未造成严重干扰的行为。</w:t>
      </w:r>
    </w:p>
    <w:p w14:paraId="1C4AD432">
      <w:pPr>
        <w:autoSpaceDE w:val="0"/>
        <w:autoSpaceDN w:val="0"/>
        <w:spacing w:before="220" w:line="620" w:lineRule="atLeast"/>
        <w:ind w:left="880" w:right="380" w:firstLine="620"/>
        <w:rPr>
          <w:rFonts w:asciiTheme="minorEastAsia" w:hAnsiTheme="minorEastAsia"/>
          <w:sz w:val="24"/>
          <w:szCs w:val="24"/>
        </w:rPr>
      </w:pPr>
      <w:r>
        <w:rPr>
          <w:rFonts w:cs="宋体" w:asciiTheme="minorEastAsia" w:hAnsiTheme="minorEastAsia"/>
          <w:color w:val="000000"/>
          <w:sz w:val="24"/>
          <w:szCs w:val="24"/>
        </w:rPr>
        <w:t>第七条  参评人员有下列行为之一的， 取消其当次全部科目评价成绩。 情节轻微的， 2年内不得参加评价； 情节严重的，5年内不得参加评价，并依据有关法律法规移送有关部门。</w:t>
      </w:r>
    </w:p>
    <w:p w14:paraId="481F598F">
      <w:pPr>
        <w:autoSpaceDE w:val="0"/>
        <w:autoSpaceDN w:val="0"/>
        <w:spacing w:before="360" w:line="300" w:lineRule="atLeast"/>
        <w:ind w:firstLine="1440" w:firstLineChars="600"/>
        <w:rPr>
          <w:rFonts w:asciiTheme="minorEastAsia" w:hAnsiTheme="minorEastAsia"/>
          <w:sz w:val="24"/>
          <w:szCs w:val="24"/>
        </w:rPr>
      </w:pPr>
      <w:r>
        <w:rPr>
          <w:rFonts w:cs="宋体" w:asciiTheme="minorEastAsia" w:hAnsiTheme="minorEastAsia"/>
          <w:color w:val="000000"/>
          <w:sz w:val="24"/>
          <w:szCs w:val="24"/>
        </w:rPr>
        <w:t>(一)通过虚假承诺、 提供虚假材料以及其他非正当手段取得参加评价资格的；</w:t>
      </w:r>
    </w:p>
    <w:p w14:paraId="179AA2BA">
      <w:pPr>
        <w:autoSpaceDE w:val="0"/>
        <w:autoSpaceDN w:val="0"/>
        <w:spacing w:before="620" w:line="320" w:lineRule="atLeast"/>
        <w:ind w:left="340" w:firstLine="1200" w:firstLineChars="500"/>
        <w:rPr>
          <w:rFonts w:asciiTheme="minorEastAsia" w:hAnsiTheme="minorEastAsia"/>
          <w:sz w:val="24"/>
          <w:szCs w:val="24"/>
        </w:rPr>
      </w:pPr>
      <w:r>
        <w:rPr>
          <w:rFonts w:cs="宋体" w:asciiTheme="minorEastAsia" w:hAnsiTheme="minorEastAsia"/>
          <w:color w:val="000000"/>
          <w:sz w:val="24"/>
          <w:szCs w:val="24"/>
        </w:rPr>
        <w:t>(二)评价前以非正当手段获得试题或答案或进行传播的；</w:t>
      </w:r>
    </w:p>
    <w:p w14:paraId="0B726209">
      <w:pPr>
        <w:autoSpaceDE w:val="0"/>
        <w:autoSpaceDN w:val="0"/>
        <w:spacing w:before="100" w:line="580" w:lineRule="atLeast"/>
        <w:ind w:left="300" w:right="760" w:firstLine="1200" w:firstLineChars="500"/>
        <w:rPr>
          <w:rFonts w:asciiTheme="minorEastAsia" w:hAnsiTheme="minorEastAsia"/>
          <w:sz w:val="24"/>
          <w:szCs w:val="24"/>
        </w:rPr>
      </w:pPr>
      <w:r>
        <w:rPr>
          <w:rFonts w:cs="宋体" w:asciiTheme="minorEastAsia" w:hAnsiTheme="minorEastAsia"/>
          <w:color w:val="000000"/>
          <w:sz w:val="24"/>
          <w:szCs w:val="24"/>
        </w:rPr>
        <w:t>(三)抢夺、 窃取他人试卷或胁迫他人配合作弊、偷换工量器具或工件等的；</w:t>
      </w:r>
    </w:p>
    <w:p w14:paraId="7EEF4C31">
      <w:pPr>
        <w:autoSpaceDE w:val="0"/>
        <w:autoSpaceDN w:val="0"/>
        <w:spacing w:before="640" w:line="320" w:lineRule="atLeast"/>
        <w:ind w:left="340" w:firstLine="1200" w:firstLineChars="500"/>
        <w:rPr>
          <w:rFonts w:asciiTheme="minorEastAsia" w:hAnsiTheme="minorEastAsia"/>
          <w:sz w:val="24"/>
          <w:szCs w:val="24"/>
        </w:rPr>
      </w:pPr>
      <w:r>
        <w:rPr>
          <w:rFonts w:cs="宋体" w:asciiTheme="minorEastAsia" w:hAnsiTheme="minorEastAsia"/>
          <w:color w:val="000000"/>
          <w:sz w:val="24"/>
          <w:szCs w:val="24"/>
        </w:rPr>
        <w:t>(四)由他人冒名顶替参加评价或替他人参加评价的；</w:t>
      </w:r>
    </w:p>
    <w:p w14:paraId="1DCCDB86">
      <w:pPr>
        <w:autoSpaceDE w:val="0"/>
        <w:autoSpaceDN w:val="0"/>
        <w:spacing w:before="500" w:line="320" w:lineRule="atLeast"/>
        <w:ind w:left="340" w:firstLine="1200" w:firstLineChars="500"/>
        <w:rPr>
          <w:rFonts w:asciiTheme="minorEastAsia" w:hAnsiTheme="minorEastAsia"/>
          <w:sz w:val="24"/>
          <w:szCs w:val="24"/>
        </w:rPr>
      </w:pPr>
      <w:r>
        <w:rPr>
          <w:rFonts w:cs="宋体" w:asciiTheme="minorEastAsia" w:hAnsiTheme="minorEastAsia"/>
          <w:color w:val="000000"/>
          <w:sz w:val="24"/>
          <w:szCs w:val="24"/>
        </w:rPr>
        <w:t>(五)串通作弊或参与有组织作弊的；</w:t>
      </w:r>
    </w:p>
    <w:p w14:paraId="40B65388">
      <w:pPr>
        <w:autoSpaceDE w:val="0"/>
        <w:autoSpaceDN w:val="0"/>
        <w:spacing w:before="80" w:line="580" w:lineRule="atLeast"/>
        <w:ind w:left="1050" w:leftChars="500" w:right="740" w:firstLine="480" w:firstLineChars="200"/>
        <w:rPr>
          <w:rFonts w:asciiTheme="minorEastAsia" w:hAnsiTheme="minorEastAsia"/>
          <w:sz w:val="24"/>
          <w:szCs w:val="24"/>
        </w:rPr>
      </w:pPr>
      <w:r>
        <w:rPr>
          <w:rFonts w:cs="宋体" w:asciiTheme="minorEastAsia" w:hAnsiTheme="minorEastAsia"/>
          <w:color w:val="000000"/>
          <w:sz w:val="24"/>
          <w:szCs w:val="24"/>
        </w:rPr>
        <w:t>(六)故意损毁评价设备(含视频监控系统)、材料，造成设备事故、人身伤害或设备主要零部件损坏的；</w:t>
      </w:r>
    </w:p>
    <w:p w14:paraId="31B9BC77">
      <w:pPr>
        <w:autoSpaceDE w:val="0"/>
        <w:autoSpaceDN w:val="0"/>
        <w:spacing w:before="640" w:line="320" w:lineRule="atLeast"/>
        <w:ind w:left="340" w:firstLine="1200" w:firstLineChars="500"/>
        <w:rPr>
          <w:rFonts w:asciiTheme="minorEastAsia" w:hAnsiTheme="minorEastAsia"/>
          <w:sz w:val="24"/>
          <w:szCs w:val="24"/>
        </w:rPr>
      </w:pPr>
      <w:r>
        <w:rPr>
          <w:rFonts w:cs="宋体" w:asciiTheme="minorEastAsia" w:hAnsiTheme="minorEastAsia"/>
          <w:color w:val="000000"/>
          <w:sz w:val="24"/>
          <w:szCs w:val="24"/>
        </w:rPr>
        <w:t>(七)其他影响恶劣或严重扰乱评价管理秩序的行为。</w:t>
      </w:r>
    </w:p>
    <w:p w14:paraId="6813A011">
      <w:pPr>
        <w:autoSpaceDE w:val="0"/>
        <w:autoSpaceDN w:val="0"/>
        <w:spacing w:before="520" w:line="480" w:lineRule="auto"/>
        <w:ind w:left="340" w:firstLine="480" w:firstLineChars="200"/>
        <w:rPr>
          <w:rFonts w:asciiTheme="minorEastAsia" w:hAnsiTheme="minorEastAsia"/>
          <w:sz w:val="24"/>
          <w:szCs w:val="24"/>
        </w:rPr>
      </w:pPr>
      <w:r>
        <w:rPr>
          <w:rFonts w:cs="宋体" w:asciiTheme="minorEastAsia" w:hAnsiTheme="minorEastAsia"/>
          <w:color w:val="000000"/>
          <w:sz w:val="24"/>
          <w:szCs w:val="24"/>
        </w:rPr>
        <w:t>第八条</w:t>
      </w:r>
      <w:r>
        <w:rPr>
          <w:rFonts w:hint="eastAsia" w:asciiTheme="minorEastAsia" w:hAnsiTheme="minorEastAsia"/>
          <w:sz w:val="24"/>
          <w:szCs w:val="24"/>
        </w:rPr>
        <w:t xml:space="preserve">  </w:t>
      </w:r>
      <w:r>
        <w:rPr>
          <w:rFonts w:cs="宋体" w:asciiTheme="minorEastAsia" w:hAnsiTheme="minorEastAsia"/>
          <w:color w:val="000000"/>
          <w:sz w:val="24"/>
          <w:szCs w:val="24"/>
        </w:rPr>
        <w:t>评价活动结束后，发现参评人员违纪违规行为并经确认的，依照本指引第五、六、 七条的规定处理，对其中已颁发证书的，由评价机构或评价机构监管部门宣布评价成绩无效，并对已发放证书、已上网证书数据及时作出相应处理。</w:t>
      </w:r>
    </w:p>
    <w:p w14:paraId="25AF74E1">
      <w:pPr>
        <w:autoSpaceDE w:val="0"/>
        <w:autoSpaceDN w:val="0"/>
        <w:spacing w:before="1420" w:line="320" w:lineRule="atLeast"/>
        <w:ind w:left="1460"/>
        <w:rPr>
          <w:rFonts w:asciiTheme="minorEastAsia" w:hAnsiTheme="minorEastAsia"/>
          <w:sz w:val="24"/>
          <w:szCs w:val="24"/>
        </w:rPr>
      </w:pPr>
      <w:r>
        <w:rPr>
          <w:rFonts w:cs="宋体" w:asciiTheme="minorEastAsia" w:hAnsiTheme="minorEastAsia"/>
          <w:color w:val="000000"/>
          <w:sz w:val="24"/>
          <w:szCs w:val="24"/>
        </w:rPr>
        <w:t>第三章   工作人员违纪违规行为的认定与处理</w:t>
      </w:r>
    </w:p>
    <w:p w14:paraId="33B8EAA1">
      <w:pPr>
        <w:autoSpaceDE w:val="0"/>
        <w:autoSpaceDN w:val="0"/>
        <w:spacing w:before="880" w:line="480" w:lineRule="auto"/>
        <w:ind w:left="660" w:firstLine="480" w:firstLineChars="200"/>
        <w:rPr>
          <w:rFonts w:asciiTheme="minorEastAsia" w:hAnsiTheme="minorEastAsia"/>
          <w:sz w:val="24"/>
          <w:szCs w:val="24"/>
        </w:rPr>
      </w:pPr>
      <w:r>
        <w:rPr>
          <w:rFonts w:cs="宋体" w:asciiTheme="minorEastAsia" w:hAnsiTheme="minorEastAsia"/>
          <w:color w:val="000000"/>
          <w:sz w:val="24"/>
          <w:szCs w:val="24"/>
        </w:rPr>
        <w:t>第九条  考务管理人员有下列行为之一的，取消其当年参加评价工作的资格，由评价机构按有关规定作出相应处理。</w:t>
      </w:r>
    </w:p>
    <w:p w14:paraId="6AC7F76D">
      <w:pPr>
        <w:autoSpaceDE w:val="0"/>
        <w:autoSpaceDN w:val="0"/>
        <w:spacing w:before="540" w:line="300" w:lineRule="atLeast"/>
        <w:ind w:left="1480"/>
        <w:rPr>
          <w:rFonts w:asciiTheme="minorEastAsia" w:hAnsiTheme="minorEastAsia"/>
          <w:sz w:val="24"/>
          <w:szCs w:val="24"/>
        </w:rPr>
      </w:pPr>
      <w:r>
        <w:rPr>
          <w:rFonts w:cs="宋体" w:asciiTheme="minorEastAsia" w:hAnsiTheme="minorEastAsia"/>
          <w:sz w:val="24"/>
          <w:szCs w:val="24"/>
        </w:rPr>
        <w:t>(一)对参评人员资格审查不严的；</w:t>
      </w:r>
    </w:p>
    <w:p w14:paraId="601F2E61">
      <w:pPr>
        <w:autoSpaceDE w:val="0"/>
        <w:autoSpaceDN w:val="0"/>
        <w:spacing w:before="500" w:line="300" w:lineRule="atLeast"/>
        <w:ind w:left="1480"/>
        <w:rPr>
          <w:rFonts w:asciiTheme="minorEastAsia" w:hAnsiTheme="minorEastAsia"/>
          <w:sz w:val="24"/>
          <w:szCs w:val="24"/>
        </w:rPr>
      </w:pPr>
      <w:r>
        <w:rPr>
          <w:rFonts w:cs="宋体" w:asciiTheme="minorEastAsia" w:hAnsiTheme="minorEastAsia"/>
          <w:color w:val="000000"/>
          <w:sz w:val="24"/>
          <w:szCs w:val="24"/>
        </w:rPr>
        <w:t>(二)不按规定按时领取、 分发和收回试卷或相关材料的；</w:t>
      </w:r>
    </w:p>
    <w:p w14:paraId="6D3F5533">
      <w:pPr>
        <w:autoSpaceDE w:val="0"/>
        <w:autoSpaceDN w:val="0"/>
        <w:spacing w:before="200" w:line="600" w:lineRule="atLeast"/>
        <w:ind w:left="840" w:right="600" w:firstLine="640"/>
        <w:rPr>
          <w:rFonts w:asciiTheme="minorEastAsia" w:hAnsiTheme="minorEastAsia"/>
          <w:sz w:val="24"/>
          <w:szCs w:val="24"/>
        </w:rPr>
      </w:pPr>
      <w:r>
        <w:rPr>
          <w:rFonts w:cs="宋体" w:asciiTheme="minorEastAsia" w:hAnsiTheme="minorEastAsia"/>
          <w:color w:val="000000"/>
          <w:sz w:val="24"/>
          <w:szCs w:val="24"/>
        </w:rPr>
        <w:t>(三)未认真履行职责，造成所负责考场出现秩序混乱，或对考场内作弊现象等违纪违规行为不及时制止或上报，或参与违规组织考试的；</w:t>
      </w:r>
    </w:p>
    <w:p w14:paraId="58C48977">
      <w:pPr>
        <w:autoSpaceDE w:val="0"/>
        <w:autoSpaceDN w:val="0"/>
        <w:spacing w:before="480" w:line="300" w:lineRule="atLeast"/>
        <w:ind w:left="1480"/>
        <w:rPr>
          <w:rFonts w:asciiTheme="minorEastAsia" w:hAnsiTheme="minorEastAsia"/>
          <w:sz w:val="24"/>
          <w:szCs w:val="24"/>
        </w:rPr>
      </w:pPr>
      <w:r>
        <w:rPr>
          <w:rFonts w:cs="宋体" w:asciiTheme="minorEastAsia" w:hAnsiTheme="minorEastAsia"/>
          <w:color w:val="000000"/>
          <w:sz w:val="24"/>
          <w:szCs w:val="24"/>
        </w:rPr>
        <w:t>(四)在证书管理工作中存在弄虚作假、 徇私舞弊等的；</w:t>
      </w:r>
    </w:p>
    <w:p w14:paraId="0A6B1170">
      <w:pPr>
        <w:autoSpaceDE w:val="0"/>
        <w:autoSpaceDN w:val="0"/>
        <w:spacing w:line="700" w:lineRule="atLeast"/>
        <w:ind w:left="780" w:right="740" w:firstLine="700"/>
        <w:rPr>
          <w:rFonts w:asciiTheme="minorEastAsia" w:hAnsiTheme="minorEastAsia"/>
          <w:sz w:val="24"/>
          <w:szCs w:val="24"/>
        </w:rPr>
      </w:pPr>
      <w:r>
        <w:rPr>
          <w:rFonts w:cs="宋体" w:asciiTheme="minorEastAsia" w:hAnsiTheme="minorEastAsia"/>
          <w:color w:val="000000"/>
          <w:sz w:val="24"/>
          <w:szCs w:val="24"/>
        </w:rPr>
        <w:t>(五)其他违反考务管理、 证书管理、 工作人员有关规定的行为。</w:t>
      </w:r>
    </w:p>
    <w:p w14:paraId="05E50625">
      <w:pPr>
        <w:autoSpaceDE w:val="0"/>
        <w:autoSpaceDN w:val="0"/>
        <w:spacing w:before="180" w:line="607" w:lineRule="atLeast"/>
        <w:ind w:left="880" w:right="600" w:firstLine="600"/>
        <w:rPr>
          <w:rFonts w:asciiTheme="minorEastAsia" w:hAnsiTheme="minorEastAsia"/>
          <w:sz w:val="24"/>
          <w:szCs w:val="24"/>
        </w:rPr>
      </w:pPr>
      <w:r>
        <w:rPr>
          <w:rFonts w:cs="宋体" w:asciiTheme="minorEastAsia" w:hAnsiTheme="minorEastAsia"/>
          <w:color w:val="000000"/>
          <w:sz w:val="24"/>
          <w:szCs w:val="24"/>
        </w:rPr>
        <w:t>第十条  考评人员有下列行为之一的，由考评人员证书颁发部门吊销其考评人员证书， 由评价机构按有关规定作出相应处理 。</w:t>
      </w:r>
    </w:p>
    <w:p w14:paraId="4D0B3A01">
      <w:pPr>
        <w:autoSpaceDE w:val="0"/>
        <w:autoSpaceDN w:val="0"/>
        <w:spacing w:before="200" w:line="607" w:lineRule="atLeast"/>
        <w:ind w:left="840" w:right="600" w:firstLine="640"/>
        <w:rPr>
          <w:rFonts w:asciiTheme="minorEastAsia" w:hAnsiTheme="minorEastAsia"/>
          <w:sz w:val="24"/>
          <w:szCs w:val="24"/>
        </w:rPr>
      </w:pPr>
      <w:r>
        <w:rPr>
          <w:rFonts w:cs="宋体" w:asciiTheme="minorEastAsia" w:hAnsiTheme="minorEastAsia"/>
          <w:color w:val="000000"/>
          <w:sz w:val="24"/>
          <w:szCs w:val="24"/>
        </w:rPr>
        <w:t>(一)在阅卷评分、 评审或面试过程中，未按照参考答案或评分标准进行阅卷评分、评审，或因失职造成阅评结果出现重大错误的；</w:t>
      </w:r>
    </w:p>
    <w:p w14:paraId="2996EE42">
      <w:pPr>
        <w:autoSpaceDE w:val="0"/>
        <w:autoSpaceDN w:val="0"/>
        <w:spacing w:before="180" w:line="580" w:lineRule="atLeast"/>
        <w:ind w:left="718" w:leftChars="342" w:right="640" w:firstLine="720" w:firstLineChars="300"/>
        <w:rPr>
          <w:rFonts w:asciiTheme="minorEastAsia" w:hAnsiTheme="minorEastAsia"/>
          <w:sz w:val="24"/>
          <w:szCs w:val="24"/>
        </w:rPr>
      </w:pPr>
      <w:r>
        <w:rPr>
          <w:rFonts w:cs="宋体" w:asciiTheme="minorEastAsia" w:hAnsiTheme="minorEastAsia"/>
          <w:color w:val="000000"/>
          <w:sz w:val="24"/>
          <w:szCs w:val="24"/>
        </w:rPr>
        <w:t>(二)盗窃、损毁、偷换、违规涂改参评人员答卷(或工件)、评价成绩、 参评人员信息材料、考场原始记录及其他有关材料， 或在上述材料中弄虚作假的；</w:t>
      </w:r>
      <w:r>
        <w:rPr>
          <w:rFonts w:hint="eastAsia" w:asciiTheme="minorEastAsia" w:hAnsiTheme="minorEastAsia"/>
          <w:sz w:val="24"/>
          <w:szCs w:val="24"/>
        </w:rPr>
        <w:t xml:space="preserve">      </w:t>
      </w:r>
    </w:p>
    <w:p w14:paraId="419E7112">
      <w:pPr>
        <w:autoSpaceDE w:val="0"/>
        <w:autoSpaceDN w:val="0"/>
        <w:spacing w:before="180" w:line="580" w:lineRule="atLeast"/>
        <w:ind w:right="640" w:firstLine="1440" w:firstLineChars="600"/>
        <w:rPr>
          <w:rFonts w:asciiTheme="minorEastAsia" w:hAnsiTheme="minorEastAsia"/>
          <w:sz w:val="24"/>
          <w:szCs w:val="24"/>
        </w:rPr>
      </w:pPr>
      <w:r>
        <w:rPr>
          <w:rFonts w:cs="宋体" w:asciiTheme="minorEastAsia" w:hAnsiTheme="minorEastAsia"/>
          <w:color w:val="000000"/>
          <w:sz w:val="24"/>
          <w:szCs w:val="24"/>
        </w:rPr>
        <w:t>(三)非法出售、提供试题、答案的行为。</w:t>
      </w:r>
    </w:p>
    <w:p w14:paraId="767A45EC">
      <w:pPr>
        <w:autoSpaceDE w:val="0"/>
        <w:autoSpaceDN w:val="0"/>
        <w:spacing w:before="200" w:line="627" w:lineRule="atLeast"/>
        <w:ind w:left="630" w:leftChars="300" w:right="840" w:firstLine="480" w:firstLineChars="200"/>
        <w:rPr>
          <w:rFonts w:asciiTheme="minorEastAsia" w:hAnsiTheme="minorEastAsia"/>
          <w:sz w:val="24"/>
          <w:szCs w:val="24"/>
        </w:rPr>
      </w:pPr>
      <w:r>
        <w:rPr>
          <w:rFonts w:cs="宋体" w:asciiTheme="minorEastAsia" w:hAnsiTheme="minorEastAsia"/>
          <w:color w:val="000000"/>
          <w:sz w:val="24"/>
          <w:szCs w:val="24"/>
        </w:rPr>
        <w:t>第十一条  质量督导员违反考务管理、督导工作管理等有关规定，造成不良影响的，由评价机构或评价机构监管部门按有关规定作出相应处理。</w:t>
      </w:r>
    </w:p>
    <w:p w14:paraId="45439602">
      <w:pPr>
        <w:autoSpaceDE w:val="0"/>
        <w:autoSpaceDN w:val="0"/>
        <w:spacing w:before="200" w:line="627" w:lineRule="atLeast"/>
        <w:ind w:left="630" w:leftChars="300" w:right="840" w:firstLine="1200" w:firstLineChars="500"/>
        <w:rPr>
          <w:rFonts w:asciiTheme="minorEastAsia" w:hAnsiTheme="minorEastAsia"/>
          <w:sz w:val="24"/>
          <w:szCs w:val="24"/>
        </w:rPr>
      </w:pPr>
      <w:r>
        <w:rPr>
          <w:rFonts w:cs="宋体" w:asciiTheme="minorEastAsia" w:hAnsiTheme="minorEastAsia"/>
          <w:color w:val="000000"/>
          <w:sz w:val="24"/>
          <w:szCs w:val="24"/>
        </w:rPr>
        <w:t>第四章  评价机构违纪违规行为的认定与处理</w:t>
      </w:r>
    </w:p>
    <w:p w14:paraId="5D6866D4">
      <w:pPr>
        <w:autoSpaceDE w:val="0"/>
        <w:autoSpaceDN w:val="0"/>
        <w:spacing w:before="680" w:line="610" w:lineRule="atLeast"/>
        <w:ind w:left="578" w:leftChars="275" w:right="920" w:firstLine="511" w:firstLineChars="213"/>
        <w:rPr>
          <w:rFonts w:asciiTheme="minorEastAsia" w:hAnsiTheme="minorEastAsia"/>
          <w:sz w:val="24"/>
          <w:szCs w:val="24"/>
        </w:rPr>
      </w:pPr>
      <w:r>
        <w:rPr>
          <w:rFonts w:cs="宋体" w:asciiTheme="minorEastAsia" w:hAnsiTheme="minorEastAsia"/>
          <w:color w:val="000000"/>
          <w:sz w:val="24"/>
          <w:szCs w:val="24"/>
        </w:rPr>
        <w:t>第十二条  评价机构有下列行为之一的， 由评价机构监管部门对其主要负责人进行约谈，听取其陈述事实或承诺，提醒其规 范操作， 视情况宣布当次评价颁发证书或评价成绩部分或全部无效。</w:t>
      </w:r>
    </w:p>
    <w:p w14:paraId="39B7713F">
      <w:pPr>
        <w:autoSpaceDE w:val="0"/>
        <w:autoSpaceDN w:val="0"/>
        <w:spacing w:line="700" w:lineRule="atLeast"/>
        <w:ind w:left="160" w:right="920" w:firstLine="460"/>
        <w:rPr>
          <w:rFonts w:asciiTheme="minorEastAsia" w:hAnsiTheme="minorEastAsia"/>
          <w:sz w:val="24"/>
          <w:szCs w:val="24"/>
        </w:rPr>
      </w:pPr>
      <w:r>
        <w:rPr>
          <w:rFonts w:cs="宋体" w:asciiTheme="minorEastAsia" w:hAnsiTheme="minorEastAsia"/>
          <w:color w:val="000000"/>
          <w:sz w:val="24"/>
          <w:szCs w:val="24"/>
        </w:rPr>
        <w:t>(一)对参评人员的参评资格审核不严，未执行职业技能标准或评价规范及有关制度规定，情节轻微的；</w:t>
      </w:r>
    </w:p>
    <w:p w14:paraId="70BC0048">
      <w:pPr>
        <w:autoSpaceDE w:val="0"/>
        <w:autoSpaceDN w:val="0"/>
        <w:spacing w:before="200" w:line="612" w:lineRule="atLeast"/>
        <w:ind w:left="180" w:right="900" w:firstLine="480" w:firstLineChars="200"/>
        <w:rPr>
          <w:rFonts w:asciiTheme="minorEastAsia" w:hAnsiTheme="minorEastAsia"/>
          <w:sz w:val="24"/>
          <w:szCs w:val="24"/>
        </w:rPr>
      </w:pPr>
      <w:r>
        <w:rPr>
          <w:rFonts w:cs="宋体" w:asciiTheme="minorEastAsia" w:hAnsiTheme="minorEastAsia"/>
          <w:color w:val="000000"/>
          <w:sz w:val="24"/>
          <w:szCs w:val="24"/>
        </w:rPr>
        <w:t>(二) 评 价 组 织 管 理 松 懈 , 或 未 严 格 按 规 定 提 供 考 场 和 配 备工作人员确保对同批次考生采用相同考核评价方式并使其处于同 等考核评价环境进行考核评价，或阅卷管理不规范、 评分标准不 统一， 或其他违反考务管理、 证书管理等有关规定，情节轻微的行为；</w:t>
      </w:r>
    </w:p>
    <w:p w14:paraId="6AD92294">
      <w:pPr>
        <w:autoSpaceDE w:val="0"/>
        <w:autoSpaceDN w:val="0"/>
        <w:spacing w:before="540" w:line="300" w:lineRule="atLeast"/>
        <w:ind w:left="220" w:firstLine="480" w:firstLineChars="200"/>
        <w:rPr>
          <w:rFonts w:asciiTheme="minorEastAsia" w:hAnsiTheme="minorEastAsia"/>
          <w:sz w:val="24"/>
          <w:szCs w:val="24"/>
        </w:rPr>
      </w:pPr>
      <w:r>
        <w:rPr>
          <w:rFonts w:cs="宋体" w:asciiTheme="minorEastAsia" w:hAnsiTheme="minorEastAsia"/>
          <w:color w:val="000000"/>
          <w:sz w:val="24"/>
          <w:szCs w:val="24"/>
        </w:rPr>
        <w:t>(三)技能人才评价档案材料保存不完整、 管理不规范的；</w:t>
      </w:r>
    </w:p>
    <w:p w14:paraId="17F29704">
      <w:pPr>
        <w:autoSpaceDE w:val="0"/>
        <w:autoSpaceDN w:val="0"/>
        <w:spacing w:before="540" w:line="300" w:lineRule="atLeast"/>
        <w:ind w:left="220" w:firstLine="480" w:firstLineChars="200"/>
        <w:rPr>
          <w:rFonts w:asciiTheme="minorEastAsia" w:hAnsiTheme="minorEastAsia"/>
          <w:sz w:val="24"/>
          <w:szCs w:val="24"/>
        </w:rPr>
      </w:pPr>
      <w:r>
        <w:rPr>
          <w:rFonts w:cs="宋体" w:asciiTheme="minorEastAsia" w:hAnsiTheme="minorEastAsia"/>
          <w:color w:val="000000"/>
          <w:sz w:val="24"/>
          <w:szCs w:val="24"/>
        </w:rPr>
        <w:t>(四)对评价 活动未安 排质量督导或不符合 质量督导工作规程相关规定 ，情节轻微的行为。</w:t>
      </w:r>
    </w:p>
    <w:p w14:paraId="6B883585">
      <w:pPr>
        <w:autoSpaceDE w:val="0"/>
        <w:autoSpaceDN w:val="0"/>
        <w:spacing w:before="540" w:line="360" w:lineRule="auto"/>
        <w:ind w:left="220" w:firstLine="480" w:firstLineChars="200"/>
        <w:rPr>
          <w:rFonts w:asciiTheme="minorEastAsia" w:hAnsiTheme="minorEastAsia"/>
          <w:sz w:val="24"/>
          <w:szCs w:val="24"/>
        </w:rPr>
      </w:pPr>
      <w:r>
        <w:rPr>
          <w:rFonts w:cs="宋体" w:asciiTheme="minorEastAsia" w:hAnsiTheme="minorEastAsia"/>
          <w:color w:val="000000"/>
          <w:sz w:val="24"/>
          <w:szCs w:val="24"/>
        </w:rPr>
        <w:t>第十三条  评价机构有下列行为之一的， 由评价机构监管部门予以警告， 限期整</w:t>
      </w:r>
      <w:r>
        <w:rPr>
          <w:rFonts w:hint="eastAsia" w:cs="宋体" w:asciiTheme="minorEastAsia" w:hAnsiTheme="minorEastAsia"/>
          <w:color w:val="000000"/>
          <w:sz w:val="24"/>
          <w:szCs w:val="24"/>
        </w:rPr>
        <w:t>、</w:t>
      </w:r>
      <w:r>
        <w:rPr>
          <w:rFonts w:cs="宋体" w:asciiTheme="minorEastAsia" w:hAnsiTheme="minorEastAsia"/>
          <w:color w:val="000000"/>
          <w:sz w:val="24"/>
          <w:szCs w:val="24"/>
        </w:rPr>
        <w:t>改，并在限期整改期间暂停其评价活动，视情况将其列入诚信不良档案， 并向社会公布。</w:t>
      </w:r>
    </w:p>
    <w:p w14:paraId="7DB4BD22">
      <w:pPr>
        <w:autoSpaceDE w:val="0"/>
        <w:autoSpaceDN w:val="0"/>
        <w:spacing w:before="500" w:line="320" w:lineRule="atLeast"/>
        <w:ind w:left="640"/>
        <w:rPr>
          <w:rFonts w:asciiTheme="minorEastAsia" w:hAnsiTheme="minorEastAsia"/>
          <w:sz w:val="24"/>
          <w:szCs w:val="24"/>
        </w:rPr>
      </w:pPr>
      <w:r>
        <w:rPr>
          <w:rFonts w:cs="宋体" w:asciiTheme="minorEastAsia" w:hAnsiTheme="minorEastAsia"/>
          <w:color w:val="000000"/>
          <w:sz w:val="24"/>
          <w:szCs w:val="24"/>
        </w:rPr>
        <w:t>(一)第十二条所列情况，情节严重的；</w:t>
      </w:r>
    </w:p>
    <w:p w14:paraId="0390FA4C">
      <w:pPr>
        <w:autoSpaceDE w:val="0"/>
        <w:autoSpaceDN w:val="0"/>
        <w:spacing w:before="520" w:line="320" w:lineRule="atLeast"/>
        <w:ind w:left="640"/>
        <w:rPr>
          <w:rFonts w:asciiTheme="minorEastAsia" w:hAnsiTheme="minorEastAsia"/>
          <w:sz w:val="24"/>
          <w:szCs w:val="24"/>
        </w:rPr>
      </w:pPr>
      <w:r>
        <w:rPr>
          <w:rFonts w:cs="宋体" w:asciiTheme="minorEastAsia" w:hAnsiTheme="minorEastAsia"/>
          <w:color w:val="000000"/>
          <w:sz w:val="24"/>
          <w:szCs w:val="24"/>
        </w:rPr>
        <w:t>(二)未严格按照规定区域和地点组织开展评价的；</w:t>
      </w:r>
    </w:p>
    <w:p w14:paraId="2305A3DB">
      <w:pPr>
        <w:autoSpaceDE w:val="0"/>
        <w:autoSpaceDN w:val="0"/>
        <w:spacing w:before="520" w:line="320" w:lineRule="atLeast"/>
        <w:ind w:left="640"/>
        <w:rPr>
          <w:rFonts w:asciiTheme="minorEastAsia" w:hAnsiTheme="minorEastAsia"/>
          <w:sz w:val="24"/>
          <w:szCs w:val="24"/>
        </w:rPr>
      </w:pPr>
      <w:r>
        <w:rPr>
          <w:rFonts w:cs="宋体" w:asciiTheme="minorEastAsia" w:hAnsiTheme="minorEastAsia"/>
          <w:color w:val="000000"/>
          <w:sz w:val="24"/>
          <w:szCs w:val="24"/>
        </w:rPr>
        <w:t>(三)一年内无正当理由不开展评价活动的；</w:t>
      </w:r>
    </w:p>
    <w:p w14:paraId="03332A94">
      <w:pPr>
        <w:autoSpaceDE w:val="0"/>
        <w:autoSpaceDN w:val="0"/>
        <w:spacing w:line="700" w:lineRule="atLeast"/>
        <w:ind w:left="600" w:right="1020" w:firstLine="40"/>
        <w:rPr>
          <w:rFonts w:asciiTheme="minorEastAsia" w:hAnsiTheme="minorEastAsia"/>
          <w:sz w:val="24"/>
          <w:szCs w:val="24"/>
        </w:rPr>
      </w:pPr>
      <w:r>
        <w:rPr>
          <w:rFonts w:cs="宋体" w:asciiTheme="minorEastAsia" w:hAnsiTheme="minorEastAsia"/>
          <w:color w:val="000000"/>
          <w:sz w:val="24"/>
          <w:szCs w:val="24"/>
        </w:rPr>
        <w:t>(四)评价机构利用广告或其他方法，进行评价“包过”、“保过”等虚假宣传的；</w:t>
      </w:r>
    </w:p>
    <w:p w14:paraId="5A78084A">
      <w:pPr>
        <w:autoSpaceDE w:val="0"/>
        <w:autoSpaceDN w:val="0"/>
        <w:spacing w:before="60" w:line="600" w:lineRule="atLeast"/>
        <w:ind w:left="580" w:right="760" w:firstLine="60"/>
        <w:rPr>
          <w:rFonts w:asciiTheme="minorEastAsia" w:hAnsiTheme="minorEastAsia"/>
          <w:sz w:val="24"/>
          <w:szCs w:val="24"/>
        </w:rPr>
      </w:pPr>
      <w:r>
        <w:rPr>
          <w:rFonts w:cs="宋体" w:asciiTheme="minorEastAsia" w:hAnsiTheme="minorEastAsia"/>
          <w:color w:val="000000"/>
          <w:sz w:val="24"/>
          <w:szCs w:val="24"/>
        </w:rPr>
        <w:t>(五)对监督检查中发现或其他渠道反映的违规问题未按期完成整改的；</w:t>
      </w:r>
    </w:p>
    <w:p w14:paraId="1F7FC13C">
      <w:pPr>
        <w:autoSpaceDE w:val="0"/>
        <w:autoSpaceDN w:val="0"/>
        <w:spacing w:before="620" w:line="320" w:lineRule="atLeast"/>
        <w:ind w:left="640"/>
        <w:rPr>
          <w:rFonts w:asciiTheme="minorEastAsia" w:hAnsiTheme="minorEastAsia"/>
          <w:sz w:val="24"/>
          <w:szCs w:val="24"/>
        </w:rPr>
      </w:pPr>
      <w:r>
        <w:rPr>
          <w:rFonts w:cs="宋体" w:asciiTheme="minorEastAsia" w:hAnsiTheme="minorEastAsia"/>
          <w:color w:val="000000"/>
          <w:sz w:val="24"/>
          <w:szCs w:val="24"/>
        </w:rPr>
        <w:t>(六)评价机构因涉嫌违纪违规问题正在调查核实的</w:t>
      </w:r>
    </w:p>
    <w:p w14:paraId="73A5EEAE">
      <w:pPr>
        <w:autoSpaceDE w:val="0"/>
        <w:autoSpaceDN w:val="0"/>
        <w:spacing w:before="560" w:line="320" w:lineRule="atLeast"/>
        <w:ind w:left="640"/>
        <w:rPr>
          <w:rFonts w:asciiTheme="minorEastAsia" w:hAnsiTheme="minorEastAsia"/>
          <w:sz w:val="24"/>
          <w:szCs w:val="24"/>
        </w:rPr>
      </w:pPr>
      <w:r>
        <w:rPr>
          <w:rFonts w:cs="宋体" w:asciiTheme="minorEastAsia" w:hAnsiTheme="minorEastAsia"/>
          <w:color w:val="000000"/>
          <w:sz w:val="24"/>
          <w:szCs w:val="24"/>
        </w:rPr>
        <w:t>(七)被投诉举报并经核实的行为。</w:t>
      </w:r>
    </w:p>
    <w:p w14:paraId="58A53078">
      <w:pPr>
        <w:autoSpaceDE w:val="0"/>
        <w:autoSpaceDN w:val="0"/>
        <w:spacing w:line="700" w:lineRule="atLeast"/>
        <w:ind w:left="560" w:right="520" w:firstLine="400"/>
        <w:rPr>
          <w:rFonts w:asciiTheme="minorEastAsia" w:hAnsiTheme="minorEastAsia"/>
          <w:sz w:val="24"/>
          <w:szCs w:val="24"/>
        </w:rPr>
      </w:pPr>
      <w:r>
        <w:rPr>
          <w:rFonts w:cs="宋体" w:asciiTheme="minorEastAsia" w:hAnsiTheme="minorEastAsia"/>
          <w:color w:val="000000"/>
          <w:sz w:val="24"/>
          <w:szCs w:val="24"/>
        </w:rPr>
        <w:t>第十四条  评价机构有下列行为之一的，评价机构监管部门予以终止备案。对涉及的相关证书及数据等及时作出相应处理。</w:t>
      </w:r>
    </w:p>
    <w:p w14:paraId="6824E05E">
      <w:pPr>
        <w:autoSpaceDE w:val="0"/>
        <w:autoSpaceDN w:val="0"/>
        <w:spacing w:before="540" w:line="320" w:lineRule="atLeast"/>
        <w:ind w:left="640"/>
        <w:rPr>
          <w:rFonts w:asciiTheme="minorEastAsia" w:hAnsiTheme="minorEastAsia"/>
          <w:sz w:val="24"/>
          <w:szCs w:val="24"/>
        </w:rPr>
      </w:pPr>
      <w:r>
        <w:rPr>
          <w:rFonts w:cs="宋体" w:asciiTheme="minorEastAsia" w:hAnsiTheme="minorEastAsia"/>
          <w:color w:val="000000"/>
          <w:sz w:val="24"/>
          <w:szCs w:val="24"/>
        </w:rPr>
        <w:t>(一)备案申请中故意提供虚假承诺、 虚假资料的；</w:t>
      </w:r>
    </w:p>
    <w:p w14:paraId="0903D826">
      <w:pPr>
        <w:autoSpaceDE w:val="0"/>
        <w:autoSpaceDN w:val="0"/>
        <w:spacing w:before="540" w:line="320" w:lineRule="atLeast"/>
        <w:ind w:left="640"/>
        <w:rPr>
          <w:rFonts w:asciiTheme="minorEastAsia" w:hAnsiTheme="minorEastAsia"/>
          <w:sz w:val="24"/>
          <w:szCs w:val="24"/>
        </w:rPr>
      </w:pPr>
      <w:r>
        <w:rPr>
          <w:rFonts w:cs="宋体" w:asciiTheme="minorEastAsia" w:hAnsiTheme="minorEastAsia"/>
          <w:color w:val="000000"/>
          <w:sz w:val="24"/>
          <w:szCs w:val="24"/>
        </w:rPr>
        <w:t>(二)严重超出备案范围开展评价工作的；</w:t>
      </w:r>
    </w:p>
    <w:p w14:paraId="0D733852">
      <w:pPr>
        <w:autoSpaceDE w:val="0"/>
        <w:autoSpaceDN w:val="0"/>
        <w:spacing w:before="120" w:line="640" w:lineRule="atLeast"/>
        <w:ind w:left="210" w:leftChars="100" w:right="680" w:firstLine="480" w:firstLineChars="200"/>
        <w:rPr>
          <w:rFonts w:asciiTheme="minorEastAsia" w:hAnsiTheme="minorEastAsia"/>
          <w:sz w:val="24"/>
          <w:szCs w:val="24"/>
        </w:rPr>
      </w:pPr>
      <w:r>
        <w:rPr>
          <w:rFonts w:cs="宋体" w:asciiTheme="minorEastAsia" w:hAnsiTheme="minorEastAsia"/>
          <w:color w:val="000000"/>
          <w:sz w:val="24"/>
          <w:szCs w:val="24"/>
        </w:rPr>
        <w:t>(三)为 参 评 人 员 或 协 助 参 评 人 员 伪 造 申 报 资 料 或 证件,或纵容参评人员违规报名的；</w:t>
      </w:r>
    </w:p>
    <w:p w14:paraId="4581A9FB">
      <w:pPr>
        <w:autoSpaceDE w:val="0"/>
        <w:autoSpaceDN w:val="0"/>
        <w:spacing w:before="500" w:line="280" w:lineRule="atLeast"/>
        <w:ind w:left="100" w:firstLine="480" w:firstLineChars="200"/>
        <w:rPr>
          <w:rFonts w:asciiTheme="minorEastAsia" w:hAnsiTheme="minorEastAsia"/>
          <w:sz w:val="24"/>
          <w:szCs w:val="24"/>
        </w:rPr>
      </w:pPr>
      <w:r>
        <w:rPr>
          <w:rFonts w:cs="宋体" w:asciiTheme="minorEastAsia" w:hAnsiTheme="minorEastAsia"/>
          <w:color w:val="000000"/>
          <w:sz w:val="24"/>
          <w:szCs w:val="24"/>
        </w:rPr>
        <w:t>(四)考场秩序混乱，有组织舞弊的；</w:t>
      </w:r>
    </w:p>
    <w:p w14:paraId="43EFAA20">
      <w:pPr>
        <w:autoSpaceDE w:val="0"/>
        <w:autoSpaceDN w:val="0"/>
        <w:spacing w:before="500" w:line="280" w:lineRule="atLeast"/>
        <w:ind w:left="100" w:firstLine="480" w:firstLineChars="200"/>
        <w:rPr>
          <w:rFonts w:asciiTheme="minorEastAsia" w:hAnsiTheme="minorEastAsia"/>
          <w:sz w:val="24"/>
          <w:szCs w:val="24"/>
        </w:rPr>
      </w:pPr>
      <w:r>
        <w:rPr>
          <w:rFonts w:cs="宋体" w:asciiTheme="minorEastAsia" w:hAnsiTheme="minorEastAsia"/>
          <w:color w:val="000000"/>
          <w:sz w:val="24"/>
          <w:szCs w:val="24"/>
        </w:rPr>
        <w:t>(五)证书数据造假的；</w:t>
      </w:r>
    </w:p>
    <w:p w14:paraId="63848235">
      <w:pPr>
        <w:autoSpaceDE w:val="0"/>
        <w:autoSpaceDN w:val="0"/>
        <w:spacing w:before="480" w:line="280" w:lineRule="atLeast"/>
        <w:ind w:left="100" w:firstLine="480" w:firstLineChars="200"/>
        <w:rPr>
          <w:rFonts w:asciiTheme="minorEastAsia" w:hAnsiTheme="minorEastAsia"/>
          <w:sz w:val="24"/>
          <w:szCs w:val="24"/>
        </w:rPr>
      </w:pPr>
      <w:r>
        <w:rPr>
          <w:rFonts w:cs="宋体" w:asciiTheme="minorEastAsia" w:hAnsiTheme="minorEastAsia"/>
          <w:color w:val="000000"/>
          <w:sz w:val="24"/>
          <w:szCs w:val="24"/>
        </w:rPr>
        <w:t>(六)已被警告， 整改后再次违反本指引第十三条规定的；</w:t>
      </w:r>
    </w:p>
    <w:p w14:paraId="0F2AD978">
      <w:pPr>
        <w:autoSpaceDE w:val="0"/>
        <w:autoSpaceDN w:val="0"/>
        <w:spacing w:before="500" w:line="280" w:lineRule="atLeast"/>
        <w:ind w:left="100" w:firstLine="480" w:firstLineChars="200"/>
        <w:rPr>
          <w:rFonts w:asciiTheme="minorEastAsia" w:hAnsiTheme="minorEastAsia"/>
          <w:sz w:val="24"/>
          <w:szCs w:val="24"/>
        </w:rPr>
      </w:pPr>
      <w:r>
        <w:rPr>
          <w:rFonts w:cs="宋体" w:asciiTheme="minorEastAsia" w:hAnsiTheme="minorEastAsia"/>
          <w:color w:val="000000"/>
          <w:sz w:val="24"/>
          <w:szCs w:val="24"/>
        </w:rPr>
        <w:t>(七)一年(含)以上不开展评价工作的；</w:t>
      </w:r>
    </w:p>
    <w:p w14:paraId="0909671A">
      <w:pPr>
        <w:autoSpaceDE w:val="0"/>
        <w:autoSpaceDN w:val="0"/>
        <w:spacing w:before="20" w:line="590" w:lineRule="atLeast"/>
        <w:ind w:left="40" w:right="1620" w:firstLine="480" w:firstLineChars="200"/>
        <w:rPr>
          <w:rFonts w:asciiTheme="minorEastAsia" w:hAnsiTheme="minorEastAsia"/>
          <w:sz w:val="24"/>
          <w:szCs w:val="24"/>
        </w:rPr>
      </w:pPr>
      <w:r>
        <w:rPr>
          <w:rFonts w:cs="宋体" w:asciiTheme="minorEastAsia" w:hAnsiTheme="minorEastAsia"/>
          <w:color w:val="000000"/>
          <w:sz w:val="24"/>
          <w:szCs w:val="24"/>
        </w:rPr>
        <w:t>(八)其他不履行工作承诺， 造成严重不良社会影响并经核实确认的行为。</w:t>
      </w:r>
    </w:p>
    <w:p w14:paraId="1BFFF8FC">
      <w:pPr>
        <w:autoSpaceDE w:val="0"/>
        <w:autoSpaceDN w:val="0"/>
        <w:spacing w:before="200" w:line="580" w:lineRule="atLeast"/>
        <w:ind w:left="420" w:leftChars="200" w:right="820" w:firstLine="480" w:firstLineChars="200"/>
        <w:rPr>
          <w:rFonts w:asciiTheme="minorEastAsia" w:hAnsiTheme="minorEastAsia"/>
          <w:sz w:val="24"/>
          <w:szCs w:val="24"/>
        </w:rPr>
      </w:pPr>
      <w:r>
        <w:rPr>
          <w:rFonts w:cs="宋体" w:asciiTheme="minorEastAsia" w:hAnsiTheme="minorEastAsia"/>
          <w:color w:val="000000"/>
          <w:sz w:val="24"/>
          <w:szCs w:val="24"/>
        </w:rPr>
        <w:t>第十五条  评价机构超范围上传证书数据、 上传证书数据有错误的，撤销其上传的违规证书数据，并视情节给予警告、 暂停评价活动、 直至终止备案的处理。</w:t>
      </w:r>
    </w:p>
    <w:p w14:paraId="7DB3CCE6">
      <w:pPr>
        <w:autoSpaceDE w:val="0"/>
        <w:autoSpaceDN w:val="0"/>
        <w:spacing w:before="220" w:line="580" w:lineRule="atLeast"/>
        <w:ind w:left="420" w:leftChars="200" w:right="820" w:firstLine="480" w:firstLineChars="200"/>
        <w:rPr>
          <w:rFonts w:asciiTheme="minorEastAsia" w:hAnsiTheme="minorEastAsia"/>
          <w:sz w:val="24"/>
          <w:szCs w:val="24"/>
        </w:rPr>
      </w:pPr>
      <w:r>
        <w:rPr>
          <w:rFonts w:cs="宋体" w:asciiTheme="minorEastAsia" w:hAnsiTheme="minorEastAsia"/>
          <w:color w:val="000000"/>
          <w:sz w:val="24"/>
          <w:szCs w:val="24"/>
        </w:rPr>
        <w:t>评价机构、评价机构监管部门均应建立数据安全、准确、完整保障机制，发生超范围读取证书数据、 泄露个人隐私、 利用证书数据等提供有偿服务等行为的，评价机构、评价机构监管部门应立即查清情况， 对造成上述问题的相关机构、人员，立即取消 其证书数据读取权限，并责令其删除已读取的证书数据，并依据相关规定进行处罚，对违反法律法规的，移交相关部门处理。</w:t>
      </w:r>
    </w:p>
    <w:p w14:paraId="54F88803">
      <w:pPr>
        <w:autoSpaceDE w:val="0"/>
        <w:autoSpaceDN w:val="0"/>
        <w:spacing w:before="220" w:line="580" w:lineRule="atLeast"/>
        <w:ind w:left="420" w:leftChars="200" w:right="820" w:firstLine="720" w:firstLineChars="300"/>
        <w:rPr>
          <w:rFonts w:asciiTheme="minorEastAsia" w:hAnsiTheme="minorEastAsia"/>
          <w:sz w:val="24"/>
          <w:szCs w:val="24"/>
        </w:rPr>
      </w:pPr>
      <w:r>
        <w:rPr>
          <w:rFonts w:cs="宋体" w:asciiTheme="minorEastAsia" w:hAnsiTheme="minorEastAsia"/>
          <w:color w:val="000000"/>
          <w:sz w:val="24"/>
          <w:szCs w:val="24"/>
        </w:rPr>
        <w:t>第五章   违纪违规行为的处理程序</w:t>
      </w:r>
    </w:p>
    <w:p w14:paraId="71B672F3">
      <w:pPr>
        <w:autoSpaceDE w:val="0"/>
        <w:autoSpaceDN w:val="0"/>
        <w:spacing w:before="220" w:line="580" w:lineRule="atLeast"/>
        <w:ind w:left="420" w:leftChars="200" w:right="820" w:firstLine="720" w:firstLineChars="300"/>
        <w:rPr>
          <w:rFonts w:asciiTheme="minorEastAsia" w:hAnsiTheme="minorEastAsia"/>
          <w:sz w:val="24"/>
          <w:szCs w:val="24"/>
        </w:rPr>
      </w:pPr>
      <w:r>
        <w:rPr>
          <w:rFonts w:cs="宋体" w:asciiTheme="minorEastAsia" w:hAnsiTheme="minorEastAsia"/>
          <w:color w:val="000000"/>
          <w:sz w:val="24"/>
          <w:szCs w:val="24"/>
        </w:rPr>
        <w:t>第十六条  参评人员涉及本指引所列违纪违规行为的，经2名(含)以上工作人员签字报考场负责人确认，评价机构按程序认定后，依据本指引有关条款进行处理。</w:t>
      </w:r>
    </w:p>
    <w:p w14:paraId="4A3A7978">
      <w:pPr>
        <w:autoSpaceDE w:val="0"/>
        <w:autoSpaceDN w:val="0"/>
        <w:spacing w:before="240" w:line="620" w:lineRule="atLeast"/>
        <w:ind w:left="720" w:right="440" w:firstLine="600"/>
        <w:rPr>
          <w:rFonts w:asciiTheme="minorEastAsia" w:hAnsiTheme="minorEastAsia"/>
          <w:sz w:val="24"/>
          <w:szCs w:val="24"/>
        </w:rPr>
      </w:pPr>
      <w:r>
        <w:rPr>
          <w:rFonts w:cs="宋体" w:asciiTheme="minorEastAsia" w:hAnsiTheme="minorEastAsia"/>
          <w:color w:val="000000"/>
          <w:sz w:val="24"/>
          <w:szCs w:val="24"/>
        </w:rPr>
        <w:t>相关工作人员涉及本指引所列违纪违规行为的，评价机构、评价机构监管部门依据本指引有关条款进行处理，评价机构应同时向评价机构监管部门报备处理情况。</w:t>
      </w:r>
    </w:p>
    <w:p w14:paraId="174BE0C7">
      <w:pPr>
        <w:autoSpaceDE w:val="0"/>
        <w:autoSpaceDN w:val="0"/>
        <w:spacing w:line="710" w:lineRule="atLeast"/>
        <w:ind w:left="740" w:right="840" w:firstLine="580"/>
        <w:rPr>
          <w:rFonts w:asciiTheme="minorEastAsia" w:hAnsiTheme="minorEastAsia"/>
          <w:sz w:val="24"/>
          <w:szCs w:val="24"/>
        </w:rPr>
      </w:pPr>
      <w:r>
        <w:rPr>
          <w:rFonts w:cs="宋体" w:asciiTheme="minorEastAsia" w:hAnsiTheme="minorEastAsia"/>
          <w:color w:val="000000"/>
          <w:sz w:val="24"/>
          <w:szCs w:val="24"/>
        </w:rPr>
        <w:t>评价机构涉及本指引所列违纪违规行为的，评价机构监管部门经认定后，依据本指引有关条款进行处理。</w:t>
      </w:r>
    </w:p>
    <w:p w14:paraId="35BF2865">
      <w:pPr>
        <w:autoSpaceDE w:val="0"/>
        <w:autoSpaceDN w:val="0"/>
        <w:spacing w:before="440" w:line="320" w:lineRule="atLeast"/>
        <w:ind w:left="1320"/>
        <w:rPr>
          <w:rFonts w:cs="宋体" w:asciiTheme="minorEastAsia" w:hAnsiTheme="minorEastAsia"/>
          <w:color w:val="000000"/>
          <w:sz w:val="24"/>
          <w:szCs w:val="24"/>
        </w:rPr>
      </w:pPr>
      <w:r>
        <w:rPr>
          <w:rFonts w:cs="宋体" w:asciiTheme="minorEastAsia" w:hAnsiTheme="minorEastAsia"/>
          <w:color w:val="000000"/>
          <w:sz w:val="24"/>
          <w:szCs w:val="24"/>
        </w:rPr>
        <w:t xml:space="preserve">第十七条  对评价机构和参评人员、 相关工作人员违纪违规行为作出处理决定前， </w:t>
      </w:r>
    </w:p>
    <w:p w14:paraId="6CCBA384">
      <w:pPr>
        <w:autoSpaceDE w:val="0"/>
        <w:autoSpaceDN w:val="0"/>
        <w:spacing w:before="440" w:line="320" w:lineRule="atLeast"/>
        <w:ind w:firstLine="720" w:firstLineChars="300"/>
        <w:rPr>
          <w:rFonts w:asciiTheme="minorEastAsia" w:hAnsiTheme="minorEastAsia"/>
          <w:sz w:val="24"/>
          <w:szCs w:val="24"/>
        </w:rPr>
      </w:pPr>
      <w:r>
        <w:rPr>
          <w:rFonts w:cs="宋体" w:asciiTheme="minorEastAsia" w:hAnsiTheme="minorEastAsia"/>
          <w:color w:val="000000"/>
          <w:sz w:val="24"/>
          <w:szCs w:val="24"/>
        </w:rPr>
        <w:t>应当告知评价机构和相关人员拟作出的处理决定及相关事实、 理由和依据。</w:t>
      </w:r>
    </w:p>
    <w:p w14:paraId="123DDFF1">
      <w:pPr>
        <w:autoSpaceDE w:val="0"/>
        <w:autoSpaceDN w:val="0"/>
        <w:spacing w:before="200" w:line="620" w:lineRule="atLeast"/>
        <w:ind w:left="680" w:right="520" w:firstLine="640"/>
        <w:rPr>
          <w:rFonts w:asciiTheme="minorEastAsia" w:hAnsiTheme="minorEastAsia"/>
          <w:sz w:val="24"/>
          <w:szCs w:val="24"/>
        </w:rPr>
      </w:pPr>
      <w:r>
        <w:rPr>
          <w:rFonts w:cs="宋体" w:asciiTheme="minorEastAsia" w:hAnsiTheme="minorEastAsia"/>
          <w:color w:val="000000"/>
          <w:sz w:val="24"/>
          <w:szCs w:val="24"/>
        </w:rPr>
        <w:t>对评价机构和参评人员、工作人员违纪违规行为作出处理决 定的，分别由评价机构或评价机构监管部门作出违纪违规行为处 理决定，并以书面形式送达相关机构或人员，或按有关规定进行公告。</w:t>
      </w:r>
    </w:p>
    <w:p w14:paraId="4C12068F">
      <w:pPr>
        <w:autoSpaceDE w:val="0"/>
        <w:autoSpaceDN w:val="0"/>
        <w:spacing w:before="160" w:line="580" w:lineRule="atLeast"/>
        <w:ind w:left="680" w:right="560" w:firstLine="640"/>
        <w:rPr>
          <w:rFonts w:asciiTheme="minorEastAsia" w:hAnsiTheme="minorEastAsia"/>
          <w:sz w:val="24"/>
          <w:szCs w:val="24"/>
        </w:rPr>
      </w:pPr>
      <w:r>
        <w:rPr>
          <w:rFonts w:cs="宋体" w:asciiTheme="minorEastAsia" w:hAnsiTheme="minorEastAsia"/>
          <w:color w:val="000000"/>
          <w:sz w:val="24"/>
          <w:szCs w:val="24"/>
        </w:rPr>
        <w:t>第十八条  对已由其他机关处理的评价机构和相关个人， 评价机构监管部门以相关处理结论为依据，作出相应处理。</w:t>
      </w:r>
    </w:p>
    <w:p w14:paraId="37D732E1">
      <w:pPr>
        <w:autoSpaceDE w:val="0"/>
        <w:autoSpaceDN w:val="0"/>
        <w:spacing w:before="620" w:line="320" w:lineRule="atLeast"/>
        <w:ind w:left="1320"/>
        <w:rPr>
          <w:rFonts w:cs="宋体" w:asciiTheme="minorEastAsia" w:hAnsiTheme="minorEastAsia"/>
          <w:color w:val="000000"/>
          <w:sz w:val="24"/>
          <w:szCs w:val="24"/>
        </w:rPr>
      </w:pPr>
      <w:r>
        <w:rPr>
          <w:rFonts w:cs="宋体" w:asciiTheme="minorEastAsia" w:hAnsiTheme="minorEastAsia"/>
          <w:color w:val="000000"/>
          <w:sz w:val="24"/>
          <w:szCs w:val="24"/>
        </w:rPr>
        <w:t>第十九条  对处理决定存在异议的机构或个人，可以向作出处理决定的评价机构或评</w:t>
      </w:r>
    </w:p>
    <w:p w14:paraId="1B16CB87">
      <w:pPr>
        <w:autoSpaceDE w:val="0"/>
        <w:autoSpaceDN w:val="0"/>
        <w:spacing w:before="620" w:line="320" w:lineRule="atLeast"/>
        <w:ind w:firstLine="720" w:firstLineChars="300"/>
        <w:rPr>
          <w:rFonts w:asciiTheme="minorEastAsia" w:hAnsiTheme="minorEastAsia"/>
          <w:sz w:val="24"/>
          <w:szCs w:val="24"/>
        </w:rPr>
      </w:pPr>
      <w:r>
        <w:rPr>
          <w:rFonts w:cs="宋体" w:asciiTheme="minorEastAsia" w:hAnsiTheme="minorEastAsia"/>
          <w:color w:val="000000"/>
          <w:sz w:val="24"/>
          <w:szCs w:val="24"/>
        </w:rPr>
        <w:t>价机构监管部门进行陈述和申辩。 经复核后，评价机构或评价机构监管部门作出复核决定。</w:t>
      </w:r>
    </w:p>
    <w:p w14:paraId="43231023">
      <w:pPr>
        <w:autoSpaceDE w:val="0"/>
        <w:autoSpaceDN w:val="0"/>
        <w:spacing w:before="20" w:line="660" w:lineRule="atLeast"/>
        <w:ind w:left="630" w:leftChars="300" w:right="1300" w:firstLine="720" w:firstLineChars="300"/>
        <w:rPr>
          <w:rFonts w:asciiTheme="minorEastAsia" w:hAnsiTheme="minorEastAsia"/>
          <w:sz w:val="24"/>
          <w:szCs w:val="24"/>
        </w:rPr>
      </w:pPr>
      <w:r>
        <w:rPr>
          <w:rFonts w:cs="宋体" w:asciiTheme="minorEastAsia" w:hAnsiTheme="minorEastAsia"/>
          <w:color w:val="000000"/>
          <w:sz w:val="24"/>
          <w:szCs w:val="24"/>
        </w:rPr>
        <w:t>第二十条  评价机构和评价机构监管部门应当建立违纪违规行为处理档案，记录、 保存违纪违规行为的处理决定等。</w:t>
      </w:r>
    </w:p>
    <w:p w14:paraId="2EFC6D49">
      <w:pPr>
        <w:autoSpaceDE w:val="0"/>
        <w:autoSpaceDN w:val="0"/>
        <w:spacing w:before="380" w:line="260" w:lineRule="atLeast"/>
        <w:ind w:left="3440"/>
        <w:rPr>
          <w:rFonts w:asciiTheme="minorEastAsia" w:hAnsiTheme="minorEastAsia"/>
          <w:sz w:val="24"/>
          <w:szCs w:val="24"/>
        </w:rPr>
      </w:pPr>
      <w:r>
        <w:rPr>
          <w:rFonts w:cs="宋体" w:asciiTheme="minorEastAsia" w:hAnsiTheme="minorEastAsia"/>
          <w:color w:val="000000"/>
          <w:sz w:val="24"/>
          <w:szCs w:val="24"/>
        </w:rPr>
        <w:t>第六章  附   则</w:t>
      </w:r>
    </w:p>
    <w:p w14:paraId="32A2D892">
      <w:pPr>
        <w:autoSpaceDE w:val="0"/>
        <w:autoSpaceDN w:val="0"/>
        <w:spacing w:before="420" w:line="680" w:lineRule="atLeast"/>
        <w:ind w:left="80" w:right="1260" w:firstLine="640"/>
        <w:rPr>
          <w:rFonts w:asciiTheme="minorEastAsia" w:hAnsiTheme="minorEastAsia"/>
          <w:sz w:val="24"/>
          <w:szCs w:val="24"/>
        </w:rPr>
      </w:pPr>
      <w:r>
        <w:rPr>
          <w:rFonts w:cs="宋体" w:asciiTheme="minorEastAsia" w:hAnsiTheme="minorEastAsia"/>
          <w:color w:val="000000"/>
          <w:sz w:val="24"/>
          <w:szCs w:val="24"/>
        </w:rPr>
        <w:t>第二十一条  本指引所称评价机构监管部门是指各级人力资源社会保障部门、有关行业部门人事劳动保障工作机构。</w:t>
      </w:r>
    </w:p>
    <w:p w14:paraId="0C4D8CB3">
      <w:pPr>
        <w:autoSpaceDE w:val="0"/>
        <w:autoSpaceDN w:val="0"/>
        <w:spacing w:before="220" w:line="553" w:lineRule="atLeast"/>
        <w:ind w:right="1020" w:firstLine="720"/>
        <w:rPr>
          <w:rFonts w:asciiTheme="minorEastAsia" w:hAnsiTheme="minorEastAsia"/>
          <w:sz w:val="24"/>
          <w:szCs w:val="24"/>
        </w:rPr>
      </w:pPr>
      <w:r>
        <w:rPr>
          <w:rFonts w:cs="宋体" w:asciiTheme="minorEastAsia" w:hAnsiTheme="minorEastAsia"/>
          <w:color w:val="000000"/>
          <w:sz w:val="24"/>
          <w:szCs w:val="24"/>
        </w:rPr>
        <w:t>本指引所称评价机构是指经人力资源社会保障部门备案的组织实施技能人员职业资格评价、 职业技能等级认定、 专项职业能力考核等的机构。</w:t>
      </w:r>
    </w:p>
    <w:p w14:paraId="4311CF56">
      <w:pPr>
        <w:autoSpaceDE w:val="0"/>
        <w:autoSpaceDN w:val="0"/>
        <w:spacing w:line="630" w:lineRule="atLeast"/>
        <w:ind w:left="140" w:right="900" w:firstLine="480" w:firstLineChars="200"/>
        <w:rPr>
          <w:rFonts w:asciiTheme="minorEastAsia" w:hAnsiTheme="minorEastAsia"/>
          <w:sz w:val="24"/>
          <w:szCs w:val="24"/>
        </w:rPr>
      </w:pPr>
      <w:r>
        <w:rPr>
          <w:rFonts w:cs="宋体" w:asciiTheme="minorEastAsia" w:hAnsiTheme="minorEastAsia"/>
          <w:color w:val="000000"/>
          <w:sz w:val="24"/>
          <w:szCs w:val="24"/>
        </w:rPr>
        <w:t>本指引所称工作人员是指参与技能人才评价工作的考务管理人员、考评人员、质量督导人员等。</w:t>
      </w:r>
    </w:p>
    <w:p w14:paraId="4ED7835F">
      <w:pPr>
        <w:autoSpaceDE w:val="0"/>
        <w:autoSpaceDN w:val="0"/>
        <w:spacing w:line="630" w:lineRule="atLeast"/>
        <w:ind w:left="140" w:right="900" w:firstLine="480" w:firstLineChars="200"/>
        <w:rPr>
          <w:rFonts w:asciiTheme="minorEastAsia" w:hAnsiTheme="minorEastAsia"/>
          <w:sz w:val="24"/>
          <w:szCs w:val="24"/>
        </w:rPr>
      </w:pPr>
      <w:r>
        <w:rPr>
          <w:rFonts w:cs="宋体" w:asciiTheme="minorEastAsia" w:hAnsiTheme="minorEastAsia"/>
          <w:color w:val="000000"/>
          <w:sz w:val="24"/>
          <w:szCs w:val="24"/>
        </w:rPr>
        <w:t>本指引所称参评人员是指依据相关规定报名参加技能人员职业资格评价、职业技能等级认定、专项职业能力考核等评价的人员。</w:t>
      </w:r>
    </w:p>
    <w:p w14:paraId="76E7E4B8">
      <w:pPr>
        <w:autoSpaceDE w:val="0"/>
        <w:autoSpaceDN w:val="0"/>
        <w:spacing w:before="20" w:line="680" w:lineRule="atLeast"/>
        <w:ind w:left="240" w:right="1180" w:firstLine="480"/>
        <w:rPr>
          <w:rFonts w:asciiTheme="minorEastAsia" w:hAnsiTheme="minorEastAsia"/>
          <w:sz w:val="24"/>
          <w:szCs w:val="24"/>
        </w:rPr>
      </w:pPr>
      <w:r>
        <w:rPr>
          <w:rFonts w:cs="宋体" w:asciiTheme="minorEastAsia" w:hAnsiTheme="minorEastAsia"/>
          <w:color w:val="000000"/>
          <w:sz w:val="24"/>
          <w:szCs w:val="24"/>
        </w:rPr>
        <w:t>第二十二条  各省级人力资源社会保障部门、 各行业部门可根据本地区、 本行业部门实际情况制定实施细则。</w:t>
      </w:r>
    </w:p>
    <w:p w14:paraId="7E4DF81F">
      <w:pPr>
        <w:autoSpaceDE w:val="0"/>
        <w:autoSpaceDN w:val="0"/>
        <w:spacing w:before="520" w:line="300" w:lineRule="atLeast"/>
        <w:ind w:left="720"/>
        <w:rPr>
          <w:rFonts w:cs="宋体" w:asciiTheme="minorEastAsia" w:hAnsiTheme="minorEastAsia"/>
          <w:color w:val="000000"/>
          <w:sz w:val="24"/>
          <w:szCs w:val="24"/>
        </w:rPr>
      </w:pPr>
      <w:r>
        <w:rPr>
          <w:rFonts w:cs="宋体" w:asciiTheme="minorEastAsia" w:hAnsiTheme="minorEastAsia"/>
          <w:color w:val="000000"/>
          <w:sz w:val="24"/>
          <w:szCs w:val="24"/>
        </w:rPr>
        <w:t>第二十三条   本指引由人力资源社会保障部职业能力建设司、 中国就业培训技术指导中</w:t>
      </w:r>
    </w:p>
    <w:p w14:paraId="2EC78310">
      <w:pPr>
        <w:autoSpaceDE w:val="0"/>
        <w:autoSpaceDN w:val="0"/>
        <w:spacing w:before="520" w:line="300" w:lineRule="atLeast"/>
        <w:rPr>
          <w:rFonts w:asciiTheme="minorEastAsia" w:hAnsiTheme="minorEastAsia"/>
          <w:sz w:val="24"/>
          <w:szCs w:val="24"/>
        </w:rPr>
      </w:pPr>
      <w:r>
        <w:rPr>
          <w:rFonts w:cs="宋体" w:asciiTheme="minorEastAsia" w:hAnsiTheme="minorEastAsia"/>
          <w:color w:val="000000"/>
          <w:sz w:val="24"/>
          <w:szCs w:val="24"/>
        </w:rPr>
        <w:t>心(人力资源社会保障部职业技能鉴定 中心)负责解释。</w:t>
      </w:r>
    </w:p>
    <w:p w14:paraId="4161A161">
      <w:pPr>
        <w:autoSpaceDE w:val="0"/>
        <w:autoSpaceDN w:val="0"/>
        <w:spacing w:before="540" w:line="340" w:lineRule="atLeast"/>
        <w:ind w:left="1180"/>
        <w:rPr>
          <w:rFonts w:cs="宋体" w:asciiTheme="minorEastAsia" w:hAnsiTheme="minorEastAsia"/>
          <w:color w:val="000000"/>
          <w:sz w:val="24"/>
          <w:szCs w:val="24"/>
        </w:rPr>
      </w:pPr>
      <w:r>
        <w:rPr>
          <w:rFonts w:cs="宋体" w:asciiTheme="minorEastAsia" w:hAnsiTheme="minorEastAsia"/>
          <w:color w:val="000000"/>
          <w:sz w:val="24"/>
          <w:szCs w:val="24"/>
        </w:rPr>
        <w:t>第二十四条  本指引自印发之日起施行。</w:t>
      </w:r>
    </w:p>
    <w:p w14:paraId="6DE0CD9E">
      <w:pPr>
        <w:autoSpaceDE w:val="0"/>
        <w:autoSpaceDN w:val="0"/>
        <w:spacing w:before="540" w:line="340" w:lineRule="atLeast"/>
        <w:ind w:left="1180" w:firstLine="2160" w:firstLineChars="900"/>
        <w:rPr>
          <w:rFonts w:cs="宋体" w:asciiTheme="minorEastAsia" w:hAnsiTheme="minorEastAsia"/>
          <w:color w:val="000000"/>
          <w:sz w:val="24"/>
          <w:szCs w:val="24"/>
        </w:rPr>
      </w:pPr>
    </w:p>
    <w:p w14:paraId="504C642C">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2C31A51B">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6BA59DDA">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2822374A">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7ADA41BB">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1BEAC01F">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51F7A923">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0C1361E4">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33B1EC5D">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1B870C08">
      <w:pPr>
        <w:autoSpaceDE w:val="0"/>
        <w:autoSpaceDN w:val="0"/>
        <w:spacing w:before="540" w:line="340" w:lineRule="atLeast"/>
        <w:rPr>
          <w:rFonts w:cs="宋体" w:asciiTheme="minorEastAsia" w:hAnsiTheme="minorEastAsia"/>
          <w:b/>
          <w:color w:val="000000"/>
          <w:sz w:val="28"/>
          <w:szCs w:val="24"/>
        </w:rPr>
      </w:pPr>
    </w:p>
    <w:p w14:paraId="01922529">
      <w:pPr>
        <w:autoSpaceDE w:val="0"/>
        <w:autoSpaceDN w:val="0"/>
        <w:spacing w:before="540" w:line="340" w:lineRule="atLeast"/>
        <w:ind w:left="1180" w:firstLine="2530" w:firstLineChars="900"/>
        <w:rPr>
          <w:rFonts w:asciiTheme="minorEastAsia" w:hAnsiTheme="minorEastAsia"/>
          <w:b/>
          <w:sz w:val="28"/>
          <w:szCs w:val="24"/>
        </w:rPr>
      </w:pPr>
      <w:r>
        <w:rPr>
          <w:rFonts w:cs="宋体" w:asciiTheme="minorEastAsia" w:hAnsiTheme="minorEastAsia"/>
          <w:b/>
          <w:color w:val="000000"/>
          <w:sz w:val="28"/>
          <w:szCs w:val="24"/>
        </w:rPr>
        <w:t>考试值班电话</w:t>
      </w:r>
    </w:p>
    <w:p w14:paraId="04BC1F56">
      <w:pPr>
        <w:autoSpaceDE w:val="0"/>
        <w:autoSpaceDN w:val="0"/>
        <w:spacing w:before="980" w:line="380" w:lineRule="atLeast"/>
        <w:ind w:left="880"/>
        <w:rPr>
          <w:rFonts w:asciiTheme="minorEastAsia" w:hAnsiTheme="minorEastAsia"/>
          <w:sz w:val="24"/>
          <w:szCs w:val="24"/>
        </w:rPr>
      </w:pPr>
      <w:r>
        <w:rPr>
          <w:rFonts w:cs="宋体" w:asciiTheme="minorEastAsia" w:hAnsiTheme="minorEastAsia"/>
          <w:color w:val="000000"/>
          <w:sz w:val="24"/>
          <w:szCs w:val="24"/>
        </w:rPr>
        <w:t>各考点在考试实施过程中如有问题，请拨打电话联系。</w:t>
      </w:r>
    </w:p>
    <w:p w14:paraId="51F817D8">
      <w:pPr>
        <w:autoSpaceDE w:val="0"/>
        <w:autoSpaceDN w:val="0"/>
        <w:spacing w:before="200" w:line="380" w:lineRule="atLeast"/>
        <w:ind w:left="880"/>
        <w:rPr>
          <w:rFonts w:asciiTheme="minorEastAsia" w:hAnsiTheme="minorEastAsia"/>
          <w:sz w:val="24"/>
          <w:szCs w:val="24"/>
        </w:rPr>
      </w:pPr>
      <w:r>
        <w:rPr>
          <w:rFonts w:cs="宋体" w:asciiTheme="minorEastAsia" w:hAnsiTheme="minorEastAsia"/>
          <w:color w:val="000000"/>
          <w:sz w:val="24"/>
          <w:szCs w:val="24"/>
        </w:rPr>
        <w:t>考务值班电话: 0538-</w:t>
      </w:r>
      <w:r>
        <w:rPr>
          <w:rFonts w:hint="eastAsia" w:cs="宋体" w:asciiTheme="minorEastAsia" w:hAnsiTheme="minorEastAsia"/>
          <w:color w:val="000000"/>
          <w:sz w:val="24"/>
          <w:szCs w:val="24"/>
        </w:rPr>
        <w:t>8272377</w:t>
      </w:r>
      <w:r>
        <w:rPr>
          <w:rFonts w:cs="宋体" w:asciiTheme="minorEastAsia" w:hAnsiTheme="minorEastAsia"/>
          <w:color w:val="000000"/>
          <w:sz w:val="24"/>
          <w:szCs w:val="24"/>
        </w:rPr>
        <w:t xml:space="preserve">  </w:t>
      </w:r>
      <w:r>
        <w:rPr>
          <w:rFonts w:hint="eastAsia" w:cs="宋体" w:asciiTheme="minorEastAsia" w:hAnsiTheme="minorEastAsia"/>
          <w:color w:val="000000"/>
          <w:sz w:val="24"/>
          <w:szCs w:val="24"/>
        </w:rPr>
        <w:t>13793812826</w:t>
      </w:r>
    </w:p>
    <w:p w14:paraId="1D836B28">
      <w:pPr>
        <w:autoSpaceDE w:val="0"/>
        <w:autoSpaceDN w:val="0"/>
        <w:spacing w:before="220" w:line="380" w:lineRule="atLeast"/>
        <w:ind w:left="880"/>
        <w:rPr>
          <w:rFonts w:asciiTheme="minorEastAsia" w:hAnsiTheme="minorEastAsia"/>
          <w:sz w:val="24"/>
          <w:szCs w:val="24"/>
        </w:rPr>
      </w:pPr>
      <w:r>
        <w:rPr>
          <w:rFonts w:cs="宋体" w:asciiTheme="minorEastAsia" w:hAnsiTheme="minorEastAsia"/>
          <w:color w:val="000000"/>
          <w:sz w:val="24"/>
          <w:szCs w:val="24"/>
        </w:rPr>
        <w:t>技术值班电话: 0538-</w:t>
      </w:r>
      <w:r>
        <w:rPr>
          <w:rFonts w:hint="eastAsia" w:cs="宋体" w:asciiTheme="minorEastAsia" w:hAnsiTheme="minorEastAsia"/>
          <w:color w:val="000000"/>
          <w:sz w:val="24"/>
          <w:szCs w:val="24"/>
        </w:rPr>
        <w:t>8272377</w:t>
      </w:r>
      <w:r>
        <w:rPr>
          <w:rFonts w:cs="宋体" w:asciiTheme="minorEastAsia" w:hAnsiTheme="minorEastAsia"/>
          <w:color w:val="000000"/>
          <w:sz w:val="24"/>
          <w:szCs w:val="24"/>
        </w:rPr>
        <w:t xml:space="preserve">  1</w:t>
      </w:r>
      <w:r>
        <w:rPr>
          <w:rFonts w:hint="eastAsia" w:cs="宋体" w:asciiTheme="minorEastAsia" w:hAnsiTheme="minorEastAsia"/>
          <w:color w:val="000000"/>
          <w:sz w:val="24"/>
          <w:szCs w:val="24"/>
        </w:rPr>
        <w:t>3853808347</w:t>
      </w:r>
    </w:p>
    <w:p w14:paraId="1E42546F">
      <w:pPr>
        <w:autoSpaceDE w:val="0"/>
        <w:autoSpaceDN w:val="0"/>
        <w:spacing w:before="200" w:line="380" w:lineRule="atLeast"/>
        <w:ind w:left="880"/>
        <w:rPr>
          <w:rFonts w:hint="eastAsia" w:cs="宋体" w:asciiTheme="minorEastAsia" w:hAnsiTheme="minorEastAsia"/>
          <w:color w:val="000000"/>
          <w:sz w:val="24"/>
          <w:szCs w:val="24"/>
        </w:rPr>
      </w:pPr>
      <w:r>
        <w:rPr>
          <w:rFonts w:cs="宋体" w:asciiTheme="minorEastAsia" w:hAnsiTheme="minorEastAsia"/>
          <w:color w:val="000000"/>
          <w:sz w:val="24"/>
          <w:szCs w:val="24"/>
        </w:rPr>
        <w:t xml:space="preserve">泰安市饭店烹饪协会: </w:t>
      </w:r>
      <w:r>
        <w:rPr>
          <w:rFonts w:cs="宋体" w:asciiTheme="minorEastAsia" w:hAnsiTheme="minorEastAsia"/>
          <w:sz w:val="24"/>
          <w:szCs w:val="24"/>
        </w:rPr>
        <w:t xml:space="preserve">  </w:t>
      </w:r>
      <w:r>
        <w:rPr>
          <w:rFonts w:cs="宋体" w:asciiTheme="minorEastAsia" w:hAnsiTheme="minorEastAsia"/>
          <w:color w:val="000000"/>
          <w:sz w:val="24"/>
          <w:szCs w:val="24"/>
        </w:rPr>
        <w:t>0538-</w:t>
      </w:r>
      <w:r>
        <w:rPr>
          <w:rFonts w:hint="eastAsia" w:cs="宋体" w:asciiTheme="minorEastAsia" w:hAnsiTheme="minorEastAsia"/>
          <w:color w:val="000000"/>
          <w:sz w:val="24"/>
          <w:szCs w:val="24"/>
        </w:rPr>
        <w:t>8272377</w:t>
      </w:r>
    </w:p>
    <w:p w14:paraId="23B69158">
      <w:pPr>
        <w:autoSpaceDE w:val="0"/>
        <w:autoSpaceDN w:val="0"/>
        <w:spacing w:before="200" w:line="380" w:lineRule="atLeast"/>
        <w:ind w:left="880"/>
        <w:rPr>
          <w:rFonts w:hint="eastAsia" w:cs="宋体" w:asciiTheme="minorEastAsia" w:hAnsiTheme="minorEastAsia"/>
          <w:color w:val="000000"/>
          <w:sz w:val="24"/>
          <w:szCs w:val="24"/>
        </w:rPr>
      </w:pPr>
    </w:p>
    <w:p w14:paraId="6EF96DCC">
      <w:pPr>
        <w:autoSpaceDE w:val="0"/>
        <w:autoSpaceDN w:val="0"/>
        <w:spacing w:before="200" w:line="380" w:lineRule="atLeast"/>
        <w:ind w:left="880"/>
        <w:rPr>
          <w:rFonts w:hint="eastAsia" w:cs="宋体" w:asciiTheme="minorEastAsia" w:hAnsiTheme="minorEastAsia"/>
          <w:color w:val="000000"/>
          <w:sz w:val="24"/>
          <w:szCs w:val="24"/>
        </w:rPr>
      </w:pPr>
    </w:p>
    <w:p w14:paraId="77322065">
      <w:pPr>
        <w:autoSpaceDE w:val="0"/>
        <w:autoSpaceDN w:val="0"/>
        <w:spacing w:before="200" w:line="380" w:lineRule="atLeast"/>
        <w:ind w:left="880"/>
        <w:rPr>
          <w:rFonts w:hint="eastAsia" w:cs="宋体" w:asciiTheme="minorEastAsia" w:hAnsiTheme="minorEastAsia"/>
          <w:color w:val="000000"/>
          <w:sz w:val="24"/>
          <w:szCs w:val="24"/>
        </w:rPr>
      </w:pPr>
    </w:p>
    <w:p w14:paraId="3407F8CA">
      <w:pPr>
        <w:autoSpaceDE w:val="0"/>
        <w:autoSpaceDN w:val="0"/>
        <w:spacing w:before="200" w:line="380" w:lineRule="atLeast"/>
        <w:ind w:left="880"/>
        <w:rPr>
          <w:rFonts w:hint="eastAsia" w:cs="宋体" w:asciiTheme="minorEastAsia" w:hAnsiTheme="minorEastAsia"/>
          <w:color w:val="000000"/>
          <w:sz w:val="24"/>
          <w:szCs w:val="24"/>
        </w:rPr>
      </w:pPr>
      <w:bookmarkStart w:id="0" w:name="_GoBack"/>
      <w:bookmarkEnd w:id="0"/>
    </w:p>
    <w:p w14:paraId="6940A155">
      <w:pPr>
        <w:autoSpaceDE w:val="0"/>
        <w:autoSpaceDN w:val="0"/>
        <w:spacing w:before="200" w:line="380" w:lineRule="atLeast"/>
        <w:ind w:left="880"/>
        <w:rPr>
          <w:rFonts w:hint="eastAsia" w:cs="宋体" w:asciiTheme="minorEastAsia" w:hAnsiTheme="minorEastAsia"/>
          <w:color w:val="000000"/>
          <w:sz w:val="24"/>
          <w:szCs w:val="24"/>
        </w:rPr>
      </w:pPr>
    </w:p>
    <w:p w14:paraId="1570095A">
      <w:pPr>
        <w:autoSpaceDE w:val="0"/>
        <w:autoSpaceDN w:val="0"/>
        <w:spacing w:before="200" w:line="380" w:lineRule="atLeast"/>
        <w:ind w:left="880"/>
        <w:rPr>
          <w:rFonts w:hint="default" w:cs="宋体" w:asciiTheme="minorEastAsia" w:hAnsiTheme="minorEastAsia" w:eastAsiaTheme="minorEastAsia"/>
          <w:color w:val="000000"/>
          <w:sz w:val="24"/>
          <w:szCs w:val="24"/>
          <w:lang w:val="en-US" w:eastAsia="zh-CN"/>
        </w:rPr>
      </w:pPr>
      <w:r>
        <w:rPr>
          <w:rFonts w:hint="eastAsia" w:cs="宋体" w:asciiTheme="minorEastAsia" w:hAnsiTheme="minorEastAsia"/>
          <w:color w:val="000000"/>
          <w:sz w:val="24"/>
          <w:szCs w:val="24"/>
          <w:lang w:val="en-US" w:eastAsia="zh-CN"/>
        </w:rPr>
        <w:t xml:space="preserve">                                                 泰安市饭店烹饪协会</w:t>
      </w:r>
    </w:p>
    <w:p w14:paraId="2280BCD9">
      <w:pPr>
        <w:spacing w:line="3926" w:lineRule="exact"/>
        <w:rPr>
          <w:rFonts w:asciiTheme="minorEastAsia" w:hAnsiTheme="minorEastAsia"/>
          <w:sz w:val="24"/>
          <w:szCs w:val="24"/>
        </w:rPr>
      </w:pPr>
      <w:r>
        <w:rPr>
          <w:rFonts w:hint="eastAsia" w:asciiTheme="minorEastAsia" w:hAnsiTheme="minorEastAsia"/>
          <w:sz w:val="24"/>
          <w:szCs w:val="24"/>
        </w:rPr>
        <w:t xml:space="preserve">                                                 </w:t>
      </w:r>
    </w:p>
    <w:sectPr>
      <w:footerReference r:id="rId3" w:type="default"/>
      <w:pgSz w:w="11900" w:h="16840"/>
      <w:pgMar w:top="800" w:right="800" w:bottom="800" w:left="800" w:header="720" w:footer="720"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33CAD">
    <w:pPr>
      <w:pStyle w:val="3"/>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101022">
                          <w:pPr>
                            <w:pStyle w:val="3"/>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D101022">
                    <w:pPr>
                      <w:pStyle w:val="3"/>
                    </w:pPr>
                    <w:r>
                      <w:fldChar w:fldCharType="begin"/>
                    </w:r>
                    <w:r>
                      <w:instrText xml:space="preserve"> PAGE  \* MERGEFORMAT </w:instrText>
                    </w:r>
                    <w:r>
                      <w:fldChar w:fldCharType="separate"/>
                    </w:r>
                    <w:r>
                      <w:t>37</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A12CD4"/>
    <w:multiLevelType w:val="multilevel"/>
    <w:tmpl w:val="13A12CD4"/>
    <w:lvl w:ilvl="0" w:tentative="0">
      <w:start w:val="1"/>
      <w:numFmt w:val="japaneseCounting"/>
      <w:lvlText w:val="第%1章"/>
      <w:lvlJc w:val="left"/>
      <w:pPr>
        <w:ind w:left="4800" w:hanging="960"/>
      </w:pPr>
      <w:rPr>
        <w:rFonts w:hint="default" w:cs="宋体"/>
        <w:color w:val="000000"/>
      </w:rPr>
    </w:lvl>
    <w:lvl w:ilvl="1" w:tentative="0">
      <w:start w:val="1"/>
      <w:numFmt w:val="lowerLetter"/>
      <w:lvlText w:val="%2)"/>
      <w:lvlJc w:val="left"/>
      <w:pPr>
        <w:ind w:left="4680" w:hanging="420"/>
      </w:pPr>
    </w:lvl>
    <w:lvl w:ilvl="2" w:tentative="0">
      <w:start w:val="1"/>
      <w:numFmt w:val="lowerRoman"/>
      <w:lvlText w:val="%3."/>
      <w:lvlJc w:val="right"/>
      <w:pPr>
        <w:ind w:left="5100" w:hanging="420"/>
      </w:pPr>
    </w:lvl>
    <w:lvl w:ilvl="3" w:tentative="0">
      <w:start w:val="1"/>
      <w:numFmt w:val="decimal"/>
      <w:lvlText w:val="%4."/>
      <w:lvlJc w:val="left"/>
      <w:pPr>
        <w:ind w:left="5520" w:hanging="420"/>
      </w:pPr>
    </w:lvl>
    <w:lvl w:ilvl="4" w:tentative="0">
      <w:start w:val="1"/>
      <w:numFmt w:val="lowerLetter"/>
      <w:lvlText w:val="%5)"/>
      <w:lvlJc w:val="left"/>
      <w:pPr>
        <w:ind w:left="5940" w:hanging="420"/>
      </w:pPr>
    </w:lvl>
    <w:lvl w:ilvl="5" w:tentative="0">
      <w:start w:val="1"/>
      <w:numFmt w:val="lowerRoman"/>
      <w:lvlText w:val="%6."/>
      <w:lvlJc w:val="right"/>
      <w:pPr>
        <w:ind w:left="6360" w:hanging="420"/>
      </w:pPr>
    </w:lvl>
    <w:lvl w:ilvl="6" w:tentative="0">
      <w:start w:val="1"/>
      <w:numFmt w:val="decimal"/>
      <w:lvlText w:val="%7."/>
      <w:lvlJc w:val="left"/>
      <w:pPr>
        <w:ind w:left="6780" w:hanging="420"/>
      </w:pPr>
    </w:lvl>
    <w:lvl w:ilvl="7" w:tentative="0">
      <w:start w:val="1"/>
      <w:numFmt w:val="lowerLetter"/>
      <w:lvlText w:val="%8)"/>
      <w:lvlJc w:val="left"/>
      <w:pPr>
        <w:ind w:left="7200" w:hanging="420"/>
      </w:pPr>
    </w:lvl>
    <w:lvl w:ilvl="8" w:tentative="0">
      <w:start w:val="1"/>
      <w:numFmt w:val="lowerRoman"/>
      <w:lvlText w:val="%9."/>
      <w:lvlJc w:val="right"/>
      <w:pPr>
        <w:ind w:left="7620" w:hanging="420"/>
      </w:pPr>
    </w:lvl>
  </w:abstractNum>
  <w:abstractNum w:abstractNumId="1">
    <w:nsid w:val="65C4FDD6"/>
    <w:multiLevelType w:val="singleLevel"/>
    <w:tmpl w:val="65C4FDD6"/>
    <w:lvl w:ilvl="0" w:tentative="0">
      <w:start w:val="1"/>
      <w:numFmt w:val="chineseCounting"/>
      <w:suff w:val="nothing"/>
      <w:lvlText w:val="%1、"/>
      <w:lvlJc w:val="left"/>
      <w:rPr>
        <w:rFonts w:hint="eastAsia"/>
      </w:rPr>
    </w:lvl>
  </w:abstractNum>
  <w:abstractNum w:abstractNumId="2">
    <w:nsid w:val="66A9363A"/>
    <w:multiLevelType w:val="singleLevel"/>
    <w:tmpl w:val="66A9363A"/>
    <w:lvl w:ilvl="0" w:tentative="0">
      <w:start w:val="1"/>
      <w:numFmt w:val="chineseCounting"/>
      <w:suff w:val="space"/>
      <w:lvlText w:val="第%1条"/>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noPunctuationKerning w:val="1"/>
  <w:characterSpacingControl w:val="doNotCompress"/>
  <w:compat>
    <w:ulTrailSpace/>
    <w:useFELayout/>
    <w:compatSetting w:name="compatibilityMode" w:uri="http://schemas.microsoft.com/office/word" w:val="14"/>
  </w:compat>
  <w:docVars>
    <w:docVar w:name="commondata" w:val="eyJoZGlkIjoiZjY0ZTk4MDJhZTM2NzI1OWM3ZjZkMGU3MTJlY2U1ZWIifQ=="/>
  </w:docVars>
  <w:rsids>
    <w:rsidRoot w:val="009E469C"/>
    <w:rsid w:val="000E3DD6"/>
    <w:rsid w:val="00115053"/>
    <w:rsid w:val="001A0278"/>
    <w:rsid w:val="001C3E8B"/>
    <w:rsid w:val="001E7EC0"/>
    <w:rsid w:val="00215D1F"/>
    <w:rsid w:val="0024791B"/>
    <w:rsid w:val="00266CC4"/>
    <w:rsid w:val="002768B4"/>
    <w:rsid w:val="00287E5B"/>
    <w:rsid w:val="002936FF"/>
    <w:rsid w:val="002E01B6"/>
    <w:rsid w:val="00315EE4"/>
    <w:rsid w:val="00336E4E"/>
    <w:rsid w:val="003854B8"/>
    <w:rsid w:val="003E070E"/>
    <w:rsid w:val="004052C1"/>
    <w:rsid w:val="004808A2"/>
    <w:rsid w:val="004A3C76"/>
    <w:rsid w:val="004B6C12"/>
    <w:rsid w:val="00504931"/>
    <w:rsid w:val="0052251F"/>
    <w:rsid w:val="0059041E"/>
    <w:rsid w:val="005B1E83"/>
    <w:rsid w:val="00604937"/>
    <w:rsid w:val="00624F6C"/>
    <w:rsid w:val="006404A7"/>
    <w:rsid w:val="00663E76"/>
    <w:rsid w:val="0066750C"/>
    <w:rsid w:val="00695804"/>
    <w:rsid w:val="006A5033"/>
    <w:rsid w:val="006F1A5A"/>
    <w:rsid w:val="007667F2"/>
    <w:rsid w:val="007F1839"/>
    <w:rsid w:val="008C65E5"/>
    <w:rsid w:val="008E11F1"/>
    <w:rsid w:val="00982807"/>
    <w:rsid w:val="00997A63"/>
    <w:rsid w:val="009A38E3"/>
    <w:rsid w:val="009D02E5"/>
    <w:rsid w:val="009D2727"/>
    <w:rsid w:val="009D7D07"/>
    <w:rsid w:val="009E469C"/>
    <w:rsid w:val="009E75F5"/>
    <w:rsid w:val="00A46EA3"/>
    <w:rsid w:val="00A761FC"/>
    <w:rsid w:val="00B03C02"/>
    <w:rsid w:val="00B63053"/>
    <w:rsid w:val="00BD2AC4"/>
    <w:rsid w:val="00BE128A"/>
    <w:rsid w:val="00C31E3D"/>
    <w:rsid w:val="00C551A9"/>
    <w:rsid w:val="00CA2AD6"/>
    <w:rsid w:val="00CB2021"/>
    <w:rsid w:val="00D94D75"/>
    <w:rsid w:val="00DC0D89"/>
    <w:rsid w:val="00E43FA5"/>
    <w:rsid w:val="00E54084"/>
    <w:rsid w:val="00E6746A"/>
    <w:rsid w:val="00E709A4"/>
    <w:rsid w:val="00E953AD"/>
    <w:rsid w:val="00F31552"/>
    <w:rsid w:val="00F86867"/>
    <w:rsid w:val="00FB78A5"/>
    <w:rsid w:val="00FD4A00"/>
    <w:rsid w:val="00FE4821"/>
    <w:rsid w:val="045C6C8C"/>
    <w:rsid w:val="07550AC8"/>
    <w:rsid w:val="125828CC"/>
    <w:rsid w:val="20076245"/>
    <w:rsid w:val="245E659E"/>
    <w:rsid w:val="3D924F99"/>
    <w:rsid w:val="53F83EA9"/>
    <w:rsid w:val="5BF062CC"/>
    <w:rsid w:val="68F4217F"/>
    <w:rsid w:val="6E4D0E33"/>
    <w:rsid w:val="7B3C6E0A"/>
    <w:rsid w:val="7DDB00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semiHidden/>
    <w:unhideWhenUsed/>
    <w:qFormat/>
    <w:uiPriority w:val="99"/>
    <w:rPr>
      <w:sz w:val="18"/>
      <w:szCs w:val="18"/>
    </w:rPr>
  </w:style>
  <w:style w:type="paragraph" w:styleId="3">
    <w:name w:val="footer"/>
    <w:basedOn w:val="1"/>
    <w:semiHidden/>
    <w:unhideWhenUsed/>
    <w:uiPriority w:val="99"/>
    <w:pPr>
      <w:tabs>
        <w:tab w:val="center" w:pos="4153"/>
        <w:tab w:val="right" w:pos="8306"/>
      </w:tabs>
      <w:snapToGrid w:val="0"/>
      <w:jc w:val="left"/>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semiHidden/>
    <w:unhideWhenUsed/>
    <w:qFormat/>
    <w:uiPriority w:val="99"/>
    <w:rPr>
      <w:color w:val="0000FF"/>
      <w:u w:val="single"/>
    </w:rPr>
  </w:style>
  <w:style w:type="character" w:customStyle="1" w:styleId="8">
    <w:name w:val="批注框文本 Char"/>
    <w:basedOn w:val="6"/>
    <w:link w:val="2"/>
    <w:semiHidden/>
    <w:qFormat/>
    <w:uiPriority w:val="99"/>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37</Pages>
  <Words>12376</Words>
  <Characters>13205</Characters>
  <Lines>164</Lines>
  <Paragraphs>46</Paragraphs>
  <TotalTime>20</TotalTime>
  <ScaleCrop>false</ScaleCrop>
  <LinksUpToDate>false</LinksUpToDate>
  <CharactersWithSpaces>13440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2024-03-26T01:41:00Z</dcterms:created>
  <dc:creator>Apache POI</dc:creator>
  <cp:lastModifiedBy>烹协</cp:lastModifiedBy>
  <cp:lastPrinted>2024-06-06T08:09:00Z</cp:lastPrinted>
  <dcterms:modified xsi:type="dcterms:W3CDTF">2026-10-14T01:33:45Z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24E1383AF6D84EA391AE2007774899FE_12</vt:lpwstr>
  </property>
  <property fmtid="{D5CDD505-2E9C-101B-9397-08002B2CF9AE}" pid="4" name="KSOTemplateDocerSaveRecord">
    <vt:lpwstr>eyJoZGlkIjoiYjA0MjQyN2NiZjNmZWVlYzg0OGJkNWQ5MmY1NWM4MzUiLCJ1c2VySWQiOiI5MzMyOTA2NDYifQ==</vt:lpwstr>
  </property>
</Properties>
</file>